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D3D9" w14:textId="77777777" w:rsidR="00AA0E14" w:rsidRPr="00AA0E14" w:rsidRDefault="00D81EF9" w:rsidP="00AA0E14">
      <w:pPr>
        <w:pStyle w:val="Head"/>
        <w:rPr>
          <w:lang w:val="en-US"/>
        </w:rPr>
      </w:pPr>
      <w:r>
        <w:rPr>
          <w:lang w:val="en-US"/>
        </w:rPr>
        <w:t xml:space="preserve">New </w:t>
      </w:r>
      <w:r w:rsidR="00673DAB">
        <w:rPr>
          <w:lang w:val="en-US"/>
        </w:rPr>
        <w:t xml:space="preserve">Sales Partnership – </w:t>
      </w:r>
      <w:r>
        <w:rPr>
          <w:lang w:val="en-US"/>
        </w:rPr>
        <w:t xml:space="preserve">Wirtgen Group </w:t>
      </w:r>
      <w:r w:rsidR="00673DAB">
        <w:rPr>
          <w:lang w:val="en-US"/>
        </w:rPr>
        <w:t xml:space="preserve">and </w:t>
      </w:r>
      <w:r w:rsidR="00AA0E14" w:rsidRPr="00AA0E14">
        <w:rPr>
          <w:lang w:val="en-US"/>
        </w:rPr>
        <w:t>Binh Minh Investment Equipment JSC</w:t>
      </w:r>
    </w:p>
    <w:p w14:paraId="7DECC4CD" w14:textId="717D5B13" w:rsidR="00DA3FAA" w:rsidRDefault="004F011B">
      <w:pPr>
        <w:pStyle w:val="Head"/>
        <w:rPr>
          <w:lang w:val="en-US"/>
        </w:rPr>
      </w:pPr>
      <w:r w:rsidRPr="004F011B">
        <w:rPr>
          <w:lang w:val="en-US"/>
        </w:rPr>
        <w:t xml:space="preserve">Join Forces </w:t>
      </w:r>
      <w:r w:rsidR="00673DAB">
        <w:rPr>
          <w:lang w:val="en-US"/>
        </w:rPr>
        <w:t xml:space="preserve"> </w:t>
      </w:r>
    </w:p>
    <w:p w14:paraId="1D117B43" w14:textId="097D50A7" w:rsidR="00DE4B39" w:rsidRPr="00DE4B39" w:rsidRDefault="00DE4B39" w:rsidP="00DE4B39">
      <w:pPr>
        <w:pStyle w:val="Subhead"/>
        <w:rPr>
          <w:lang w:val="en-US"/>
        </w:rPr>
      </w:pPr>
      <w:r>
        <w:rPr>
          <w:lang w:val="en-US"/>
        </w:rPr>
        <w:t>E</w:t>
      </w:r>
      <w:r w:rsidRPr="00DE4B39">
        <w:rPr>
          <w:lang w:val="en-US"/>
        </w:rPr>
        <w:t xml:space="preserve">xpanding representation </w:t>
      </w:r>
      <w:r w:rsidR="00AA0E14">
        <w:rPr>
          <w:lang w:val="en-US"/>
        </w:rPr>
        <w:t>in Vietnam</w:t>
      </w:r>
    </w:p>
    <w:p w14:paraId="6EDF0167" w14:textId="7509504F" w:rsidR="00D81EF9" w:rsidRPr="00D81EF9" w:rsidRDefault="00673DAB" w:rsidP="007767B2">
      <w:pPr>
        <w:pStyle w:val="Subhead"/>
        <w:jc w:val="both"/>
        <w:rPr>
          <w:lang w:val="pt-BR"/>
        </w:rPr>
      </w:pPr>
      <w:r w:rsidRPr="00D81EF9">
        <w:rPr>
          <w:sz w:val="22"/>
          <w:szCs w:val="22"/>
          <w:lang w:val="pt-BR"/>
        </w:rPr>
        <w:t xml:space="preserve">The Wirtgen Group is pleased to announce </w:t>
      </w:r>
      <w:r w:rsidR="00AA0E14" w:rsidRPr="00AA0E14">
        <w:rPr>
          <w:bCs/>
          <w:sz w:val="22"/>
          <w:szCs w:val="22"/>
          <w:lang w:val="en-US"/>
        </w:rPr>
        <w:t>Binh Minh Investment Equipment JSC</w:t>
      </w:r>
      <w:r w:rsidR="00AA0E14">
        <w:rPr>
          <w:bCs/>
          <w:sz w:val="22"/>
          <w:szCs w:val="22"/>
          <w:lang w:val="en-US"/>
        </w:rPr>
        <w:t xml:space="preserve"> </w:t>
      </w:r>
      <w:r w:rsidR="00D81EF9">
        <w:rPr>
          <w:sz w:val="22"/>
          <w:szCs w:val="22"/>
          <w:lang w:val="pt-BR"/>
        </w:rPr>
        <w:t>as new authorised dealer</w:t>
      </w:r>
      <w:r w:rsidR="004F011B">
        <w:rPr>
          <w:sz w:val="22"/>
          <w:szCs w:val="22"/>
          <w:lang w:val="pt-BR"/>
        </w:rPr>
        <w:t xml:space="preserve"> in Vietnam. </w:t>
      </w:r>
      <w:r w:rsidR="004F011B" w:rsidRPr="004F011B">
        <w:rPr>
          <w:sz w:val="22"/>
          <w:szCs w:val="22"/>
          <w:lang w:val="pt-BR"/>
        </w:rPr>
        <w:t xml:space="preserve">As of January 1, 2026, Binh Minh </w:t>
      </w:r>
      <w:r w:rsidR="004F011B">
        <w:rPr>
          <w:sz w:val="22"/>
          <w:szCs w:val="22"/>
          <w:lang w:val="pt-BR"/>
        </w:rPr>
        <w:t>is</w:t>
      </w:r>
      <w:r w:rsidR="004F011B" w:rsidRPr="004F011B">
        <w:rPr>
          <w:sz w:val="22"/>
          <w:szCs w:val="22"/>
          <w:lang w:val="pt-BR"/>
        </w:rPr>
        <w:t xml:space="preserve"> represent</w:t>
      </w:r>
      <w:r w:rsidR="004F011B">
        <w:rPr>
          <w:sz w:val="22"/>
          <w:szCs w:val="22"/>
          <w:lang w:val="pt-BR"/>
        </w:rPr>
        <w:t xml:space="preserve">ing </w:t>
      </w:r>
      <w:r w:rsidR="004F011B" w:rsidRPr="004F011B">
        <w:rPr>
          <w:sz w:val="22"/>
          <w:szCs w:val="22"/>
          <w:lang w:val="pt-BR"/>
        </w:rPr>
        <w:t>Wirtgen Group products and technologies</w:t>
      </w:r>
      <w:r w:rsidR="00731DA8">
        <w:rPr>
          <w:sz w:val="22"/>
          <w:szCs w:val="22"/>
          <w:lang w:val="pt-BR"/>
        </w:rPr>
        <w:t xml:space="preserve"> for the brands </w:t>
      </w:r>
      <w:r w:rsidR="00731DA8" w:rsidRPr="00731DA8">
        <w:rPr>
          <w:sz w:val="22"/>
          <w:szCs w:val="22"/>
          <w:lang w:val="pt-BR"/>
        </w:rPr>
        <w:t>Wirtgen, Vögele, Hamm, Kleemann</w:t>
      </w:r>
      <w:r w:rsidR="00731DA8">
        <w:rPr>
          <w:sz w:val="22"/>
          <w:szCs w:val="22"/>
          <w:lang w:val="pt-BR"/>
        </w:rPr>
        <w:t xml:space="preserve"> and </w:t>
      </w:r>
      <w:r w:rsidR="00731DA8" w:rsidRPr="00731DA8">
        <w:rPr>
          <w:sz w:val="22"/>
          <w:szCs w:val="22"/>
          <w:lang w:val="pt-BR"/>
        </w:rPr>
        <w:t>Benninghoven</w:t>
      </w:r>
      <w:r w:rsidR="004F011B" w:rsidRPr="004F011B">
        <w:rPr>
          <w:sz w:val="22"/>
          <w:szCs w:val="22"/>
          <w:lang w:val="pt-BR"/>
        </w:rPr>
        <w:t>, further strengthening the Group’s presence in this dynamic and growing market.</w:t>
      </w:r>
    </w:p>
    <w:p w14:paraId="094D90F4" w14:textId="3FB7420A" w:rsidR="00335EC3" w:rsidRDefault="0098561C" w:rsidP="00335EC3">
      <w:pPr>
        <w:pStyle w:val="Standardabsatz"/>
        <w:spacing w:after="0"/>
        <w:rPr>
          <w:lang w:val="en-US"/>
        </w:rPr>
      </w:pPr>
      <w:r w:rsidRPr="00335EC3">
        <w:rPr>
          <w:b/>
          <w:bCs/>
          <w:lang w:val="en-US"/>
        </w:rPr>
        <w:t xml:space="preserve">Wirtgen Group – A </w:t>
      </w:r>
      <w:r w:rsidR="000D2603">
        <w:rPr>
          <w:b/>
          <w:bCs/>
          <w:lang w:val="en-US"/>
        </w:rPr>
        <w:t>trusted</w:t>
      </w:r>
      <w:r w:rsidRPr="00335EC3">
        <w:rPr>
          <w:b/>
          <w:bCs/>
          <w:lang w:val="en-US"/>
        </w:rPr>
        <w:t xml:space="preserve"> partner </w:t>
      </w:r>
      <w:r w:rsidR="000D2603">
        <w:rPr>
          <w:b/>
          <w:bCs/>
          <w:lang w:val="en-US"/>
        </w:rPr>
        <w:t>in</w:t>
      </w:r>
      <w:r w:rsidRPr="00335EC3">
        <w:rPr>
          <w:b/>
          <w:bCs/>
          <w:lang w:val="en-US"/>
        </w:rPr>
        <w:t xml:space="preserve"> the </w:t>
      </w:r>
      <w:r w:rsidR="00AA0E14">
        <w:rPr>
          <w:b/>
          <w:bCs/>
          <w:lang w:val="en-US"/>
        </w:rPr>
        <w:t>Vietnam</w:t>
      </w:r>
      <w:r w:rsidR="000D2603">
        <w:rPr>
          <w:b/>
          <w:bCs/>
          <w:lang w:val="en-US"/>
        </w:rPr>
        <w:t>ese</w:t>
      </w:r>
      <w:r w:rsidRPr="00335EC3">
        <w:rPr>
          <w:b/>
          <w:bCs/>
          <w:lang w:val="en-US"/>
        </w:rPr>
        <w:t xml:space="preserve"> market</w:t>
      </w:r>
      <w:r w:rsidRPr="00335EC3" w:rsidDel="0098561C">
        <w:rPr>
          <w:b/>
          <w:bCs/>
          <w:lang w:val="en-US"/>
        </w:rPr>
        <w:t xml:space="preserve"> </w:t>
      </w:r>
      <w:r w:rsidR="000D2603">
        <w:rPr>
          <w:b/>
          <w:bCs/>
          <w:lang w:val="en-US"/>
        </w:rPr>
        <w:t>for</w:t>
      </w:r>
      <w:r w:rsidRPr="00335EC3">
        <w:rPr>
          <w:b/>
          <w:bCs/>
          <w:lang w:val="en-US"/>
        </w:rPr>
        <w:t xml:space="preserve"> decades</w:t>
      </w:r>
      <w:r>
        <w:rPr>
          <w:lang w:val="en-US"/>
        </w:rPr>
        <w:t xml:space="preserve"> </w:t>
      </w:r>
    </w:p>
    <w:p w14:paraId="1E68102A" w14:textId="7FF94FC1" w:rsidR="00DA3FAA" w:rsidRDefault="000D2603" w:rsidP="00335EC3">
      <w:pPr>
        <w:pStyle w:val="Standardabsatz"/>
        <w:spacing w:after="0"/>
        <w:rPr>
          <w:lang w:val="en-US"/>
        </w:rPr>
      </w:pPr>
      <w:r w:rsidRPr="000D2603">
        <w:rPr>
          <w:lang w:val="en-US"/>
        </w:rPr>
        <w:t>With its six specialised brands – Wirtgen, Vögele, Hamm, Kleemann, Benninghoven and Ciber – the Wirtgen Group offers a comprehensive portfolio of solutions tailored to the diverse requirements of road construction and mineral processing. For decades, the Group has supported customers in Vietnam with proven technology, strong application expertise and a deep understanding of local market needs.</w:t>
      </w:r>
      <w:r w:rsidR="00403276">
        <w:rPr>
          <w:lang w:val="en-US"/>
        </w:rPr>
        <w:t xml:space="preserve"> “</w:t>
      </w:r>
      <w:r w:rsidR="0035782E" w:rsidRPr="0035782E">
        <w:rPr>
          <w:lang w:val="en-US"/>
        </w:rPr>
        <w:t xml:space="preserve">With innovative road construction </w:t>
      </w:r>
      <w:r w:rsidR="0035782E">
        <w:rPr>
          <w:lang w:val="en-US"/>
        </w:rPr>
        <w:t xml:space="preserve">and mineral </w:t>
      </w:r>
      <w:r w:rsidR="0035782E" w:rsidRPr="0035782E">
        <w:rPr>
          <w:lang w:val="en-US"/>
        </w:rPr>
        <w:t xml:space="preserve">solutions, </w:t>
      </w:r>
      <w:r w:rsidR="00403276">
        <w:rPr>
          <w:lang w:val="en-US"/>
        </w:rPr>
        <w:t xml:space="preserve">the Wirtgen Group is </w:t>
      </w:r>
      <w:r w:rsidR="0035782E" w:rsidRPr="0035782E">
        <w:rPr>
          <w:lang w:val="en-US"/>
        </w:rPr>
        <w:t xml:space="preserve">well </w:t>
      </w:r>
      <w:r>
        <w:rPr>
          <w:lang w:val="en-US"/>
        </w:rPr>
        <w:t>positioned</w:t>
      </w:r>
      <w:r w:rsidR="0035782E" w:rsidRPr="0035782E">
        <w:rPr>
          <w:lang w:val="en-US"/>
        </w:rPr>
        <w:t xml:space="preserve"> to </w:t>
      </w:r>
      <w:r>
        <w:rPr>
          <w:lang w:val="en-US"/>
        </w:rPr>
        <w:t>address</w:t>
      </w:r>
      <w:r w:rsidR="0035782E" w:rsidRPr="0035782E">
        <w:rPr>
          <w:lang w:val="en-US"/>
        </w:rPr>
        <w:t xml:space="preserve"> future </w:t>
      </w:r>
      <w:r>
        <w:rPr>
          <w:lang w:val="en-US"/>
        </w:rPr>
        <w:t xml:space="preserve">infrastructure </w:t>
      </w:r>
      <w:r w:rsidR="0035782E" w:rsidRPr="0035782E">
        <w:rPr>
          <w:lang w:val="en-US"/>
        </w:rPr>
        <w:t>challenges</w:t>
      </w:r>
      <w:r>
        <w:rPr>
          <w:lang w:val="en-US"/>
        </w:rPr>
        <w:t xml:space="preserve"> across the region</w:t>
      </w:r>
      <w:r w:rsidR="00403276">
        <w:rPr>
          <w:lang w:val="en-US"/>
        </w:rPr>
        <w:t>”</w:t>
      </w:r>
      <w:r w:rsidR="0035782E" w:rsidRPr="0035782E">
        <w:rPr>
          <w:lang w:val="en-US"/>
        </w:rPr>
        <w:t xml:space="preserve">, says </w:t>
      </w:r>
      <w:r w:rsidR="00A90C81" w:rsidRPr="00DD480C">
        <w:rPr>
          <w:lang w:val="en-US"/>
        </w:rPr>
        <w:t xml:space="preserve">Alessandro Bernacchia, Managing Director Wirtgen Singapore </w:t>
      </w:r>
      <w:r w:rsidR="00864E73" w:rsidRPr="00DD480C">
        <w:rPr>
          <w:lang w:val="en-US"/>
        </w:rPr>
        <w:t>PTE LTD</w:t>
      </w:r>
      <w:r w:rsidR="0035782E" w:rsidRPr="00DD480C">
        <w:rPr>
          <w:lang w:val="en-US"/>
        </w:rPr>
        <w:t>.</w:t>
      </w:r>
    </w:p>
    <w:p w14:paraId="2CA032BB" w14:textId="77777777" w:rsidR="00335EC3" w:rsidRDefault="00335EC3" w:rsidP="00335EC3">
      <w:pPr>
        <w:pStyle w:val="Standardabsatz"/>
        <w:spacing w:after="0"/>
        <w:rPr>
          <w:lang w:val="en-US"/>
        </w:rPr>
      </w:pPr>
    </w:p>
    <w:p w14:paraId="1940E930" w14:textId="76D098C5" w:rsidR="00DA3FAA" w:rsidRDefault="00864E73">
      <w:pPr>
        <w:pStyle w:val="Absatzberschrift"/>
        <w:rPr>
          <w:lang w:val="en-US"/>
        </w:rPr>
      </w:pPr>
      <w:r w:rsidRPr="00864E73">
        <w:rPr>
          <w:bCs/>
          <w:lang w:val="en-US"/>
        </w:rPr>
        <w:t>Binh Minh Investment Equipment JSC</w:t>
      </w:r>
      <w:r>
        <w:rPr>
          <w:bCs/>
          <w:lang w:val="en-US"/>
        </w:rPr>
        <w:t xml:space="preserve"> </w:t>
      </w:r>
      <w:r w:rsidR="00B54BD1">
        <w:rPr>
          <w:lang w:val="en-US"/>
        </w:rPr>
        <w:t xml:space="preserve">– </w:t>
      </w:r>
      <w:r w:rsidR="000D2603">
        <w:rPr>
          <w:lang w:val="en-US"/>
        </w:rPr>
        <w:t>strong commitment</w:t>
      </w:r>
      <w:r w:rsidR="00B54BD1" w:rsidRPr="00B54BD1">
        <w:rPr>
          <w:lang w:val="en-US"/>
        </w:rPr>
        <w:t xml:space="preserve"> to </w:t>
      </w:r>
      <w:r w:rsidR="00DC7C6A">
        <w:rPr>
          <w:lang w:val="en-US"/>
        </w:rPr>
        <w:t xml:space="preserve">sales &amp; </w:t>
      </w:r>
      <w:r w:rsidR="00B54BD1" w:rsidRPr="00B54BD1">
        <w:rPr>
          <w:lang w:val="en-US"/>
        </w:rPr>
        <w:t>after-sales support</w:t>
      </w:r>
      <w:r w:rsidR="00B54BD1">
        <w:rPr>
          <w:lang w:val="en-US"/>
        </w:rPr>
        <w:t xml:space="preserve"> </w:t>
      </w:r>
    </w:p>
    <w:p w14:paraId="75E00834" w14:textId="1DBF7B43" w:rsidR="00237185" w:rsidRPr="00C23752" w:rsidRDefault="000D2603" w:rsidP="00AD76CB">
      <w:pPr>
        <w:pStyle w:val="Fotos"/>
        <w:jc w:val="both"/>
        <w:rPr>
          <w:szCs w:val="22"/>
          <w:lang w:val="en-US"/>
        </w:rPr>
      </w:pPr>
      <w:r w:rsidRPr="000D2603">
        <w:rPr>
          <w:rFonts w:eastAsia="Verdana" w:cs="Times New Roman"/>
          <w:b w:val="0"/>
          <w:szCs w:val="22"/>
          <w:lang w:val="pt-BR"/>
        </w:rPr>
        <w:t>Binh Minh brings a well established market presence and a strong commitment to high quality sales and after sales service. Its dedication to customer support will further enhance the accessibility and performance of Wirtgen Group products and technologies throughout Vietnam.</w:t>
      </w:r>
      <w:r w:rsidR="00335EC3">
        <w:rPr>
          <w:rFonts w:eastAsia="Verdana" w:cs="Times New Roman"/>
          <w:b w:val="0"/>
          <w:szCs w:val="22"/>
          <w:lang w:val="pt-BR"/>
        </w:rPr>
        <w:t xml:space="preserve"> </w:t>
      </w:r>
      <w:r w:rsidR="00DD480C">
        <w:rPr>
          <w:rFonts w:eastAsia="Verdana" w:cs="Times New Roman"/>
          <w:b w:val="0"/>
          <w:szCs w:val="22"/>
          <w:lang w:val="pt-BR"/>
        </w:rPr>
        <w:t>“</w:t>
      </w:r>
      <w:r w:rsidR="00DD480C" w:rsidRPr="00DD480C">
        <w:rPr>
          <w:rFonts w:eastAsia="Verdana" w:cs="Times New Roman"/>
          <w:b w:val="0"/>
          <w:szCs w:val="22"/>
          <w:lang w:val="pt-BR"/>
        </w:rPr>
        <w:t xml:space="preserve">Binh Minh is excited to partner with the Wirtgen Group, by adding our sales and aftermarket support capabilities in the road and mineral </w:t>
      </w:r>
      <w:r w:rsidR="00DD480C">
        <w:rPr>
          <w:rFonts w:eastAsia="Verdana" w:cs="Times New Roman"/>
          <w:b w:val="0"/>
          <w:szCs w:val="22"/>
          <w:lang w:val="pt-BR"/>
        </w:rPr>
        <w:t>segments</w:t>
      </w:r>
      <w:r w:rsidR="00DD480C" w:rsidRPr="00DD480C">
        <w:rPr>
          <w:rFonts w:eastAsia="Verdana" w:cs="Times New Roman"/>
          <w:b w:val="0"/>
          <w:szCs w:val="22"/>
          <w:lang w:val="pt-BR"/>
        </w:rPr>
        <w:t xml:space="preserve"> to the unique Wirtgen Group’s production systems </w:t>
      </w:r>
      <w:r w:rsidR="00DD480C">
        <w:rPr>
          <w:rFonts w:eastAsia="Verdana" w:cs="Times New Roman"/>
          <w:b w:val="0"/>
          <w:szCs w:val="22"/>
          <w:lang w:val="pt-BR"/>
        </w:rPr>
        <w:t>solutions</w:t>
      </w:r>
      <w:r w:rsidR="00DD480C" w:rsidRPr="00DD480C">
        <w:rPr>
          <w:rFonts w:eastAsia="Verdana" w:cs="Times New Roman"/>
          <w:b w:val="0"/>
          <w:szCs w:val="22"/>
          <w:lang w:val="pt-BR"/>
        </w:rPr>
        <w:t xml:space="preserve"> and application expertise”</w:t>
      </w:r>
      <w:r w:rsidR="00DD480C">
        <w:rPr>
          <w:rFonts w:eastAsia="Verdana" w:cs="Times New Roman"/>
          <w:b w:val="0"/>
          <w:szCs w:val="22"/>
          <w:lang w:val="pt-BR"/>
        </w:rPr>
        <w:t xml:space="preserve">, </w:t>
      </w:r>
      <w:r w:rsidR="0035782E">
        <w:rPr>
          <w:rFonts w:eastAsia="Verdana" w:cs="Times New Roman"/>
          <w:b w:val="0"/>
          <w:szCs w:val="22"/>
          <w:lang w:val="pt-BR"/>
        </w:rPr>
        <w:t xml:space="preserve">says </w:t>
      </w:r>
      <w:r w:rsidR="00C23752" w:rsidRPr="000416C7">
        <w:rPr>
          <w:rFonts w:eastAsia="Verdana" w:cs="Times New Roman"/>
          <w:b w:val="0"/>
          <w:szCs w:val="22"/>
          <w:lang w:val="pt-BR"/>
        </w:rPr>
        <w:t>Hoang Minh Chi Ms.</w:t>
      </w:r>
      <w:r w:rsidR="0035782E">
        <w:rPr>
          <w:rFonts w:eastAsia="Verdana" w:cs="Times New Roman"/>
          <w:b w:val="0"/>
          <w:szCs w:val="22"/>
          <w:lang w:val="pt-BR"/>
        </w:rPr>
        <w:t xml:space="preserve">, </w:t>
      </w:r>
      <w:r w:rsidR="00C23752">
        <w:rPr>
          <w:rFonts w:eastAsia="Verdana" w:cs="Times New Roman"/>
          <w:b w:val="0"/>
          <w:szCs w:val="22"/>
          <w:lang w:val="pt-BR"/>
        </w:rPr>
        <w:t>General Manager,</w:t>
      </w:r>
      <w:r w:rsidR="0035782E">
        <w:rPr>
          <w:rFonts w:eastAsia="Verdana" w:cs="Times New Roman"/>
          <w:b w:val="0"/>
          <w:szCs w:val="22"/>
          <w:lang w:val="pt-BR"/>
        </w:rPr>
        <w:t xml:space="preserve"> </w:t>
      </w:r>
      <w:r w:rsidR="000D09D0" w:rsidRPr="000D09D0">
        <w:rPr>
          <w:rFonts w:eastAsia="Verdana" w:cs="Times New Roman"/>
          <w:b w:val="0"/>
          <w:szCs w:val="22"/>
          <w:lang w:val="pt-BR"/>
        </w:rPr>
        <w:t>Binh Minh Investment Equipment JSC</w:t>
      </w:r>
      <w:r w:rsidR="00AD76CB">
        <w:rPr>
          <w:rFonts w:eastAsia="Verdana" w:cs="Times New Roman"/>
          <w:b w:val="0"/>
          <w:szCs w:val="22"/>
          <w:lang w:val="pt-BR"/>
        </w:rPr>
        <w:t>.</w:t>
      </w:r>
      <w:r w:rsidR="0035782E">
        <w:rPr>
          <w:rFonts w:eastAsia="Verdana" w:cs="Times New Roman"/>
          <w:b w:val="0"/>
          <w:szCs w:val="22"/>
          <w:lang w:val="pt-BR"/>
        </w:rPr>
        <w:t xml:space="preserve"> </w:t>
      </w:r>
    </w:p>
    <w:p w14:paraId="71588716" w14:textId="72D5EABD" w:rsidR="00B8417F" w:rsidRDefault="00302029" w:rsidP="00AD76CB">
      <w:pPr>
        <w:pStyle w:val="Fotos"/>
        <w:jc w:val="both"/>
        <w:rPr>
          <w:b w:val="0"/>
          <w:bCs/>
          <w:lang w:val="pt-BR"/>
        </w:rPr>
      </w:pPr>
      <w:r w:rsidRPr="00302029">
        <w:rPr>
          <w:b w:val="0"/>
          <w:bCs/>
          <w:lang w:val="pt-BR"/>
        </w:rPr>
        <w:t xml:space="preserve">By joining forces, both partners </w:t>
      </w:r>
      <w:r w:rsidR="000D2603">
        <w:rPr>
          <w:b w:val="0"/>
          <w:bCs/>
          <w:lang w:val="pt-BR"/>
        </w:rPr>
        <w:t>aim</w:t>
      </w:r>
      <w:r>
        <w:rPr>
          <w:b w:val="0"/>
          <w:bCs/>
          <w:lang w:val="pt-BR"/>
        </w:rPr>
        <w:t xml:space="preserve"> to</w:t>
      </w:r>
      <w:r w:rsidRPr="00302029">
        <w:rPr>
          <w:b w:val="0"/>
          <w:bCs/>
          <w:lang w:val="pt-BR"/>
        </w:rPr>
        <w:t xml:space="preserve"> support customers even more effectively, underlining their commitment to innovation, quality and </w:t>
      </w:r>
      <w:r w:rsidR="000D2603" w:rsidRPr="000D2603">
        <w:rPr>
          <w:b w:val="0"/>
          <w:bCs/>
          <w:lang w:val="pt-BR"/>
        </w:rPr>
        <w:t>long term customer partnerships across the Vietnamese market.</w:t>
      </w:r>
    </w:p>
    <w:p w14:paraId="139B4ECC" w14:textId="77777777" w:rsidR="00B8417F" w:rsidRDefault="00B8417F">
      <w:pPr>
        <w:rPr>
          <w:rFonts w:eastAsiaTheme="minorHAnsi" w:cstheme="minorBidi"/>
          <w:bCs/>
          <w:sz w:val="22"/>
          <w:szCs w:val="24"/>
          <w:lang w:val="pt-BR"/>
        </w:rPr>
      </w:pPr>
      <w:r>
        <w:rPr>
          <w:b/>
          <w:bCs/>
          <w:lang w:val="pt-BR"/>
        </w:rPr>
        <w:br w:type="page"/>
      </w:r>
    </w:p>
    <w:p w14:paraId="2FA1F237" w14:textId="1CFE9B22" w:rsidR="00DA3FAA" w:rsidRPr="00B8417F" w:rsidRDefault="00B8417F" w:rsidP="00AD76CB">
      <w:pPr>
        <w:pStyle w:val="Fotos"/>
        <w:jc w:val="both"/>
        <w:rPr>
          <w:lang w:val="pt-BR"/>
        </w:rPr>
      </w:pPr>
      <w:r w:rsidRPr="00B8417F">
        <w:rPr>
          <w:lang w:val="pt-BR"/>
        </w:rPr>
        <w:lastRenderedPageBreak/>
        <w:t>Photo:</w:t>
      </w:r>
    </w:p>
    <w:p w14:paraId="627E6989" w14:textId="77777777" w:rsidR="00B8417F" w:rsidRDefault="00B8417F" w:rsidP="00B8417F">
      <w:pPr>
        <w:pStyle w:val="Text"/>
      </w:pPr>
      <w:r>
        <w:rPr>
          <w:noProof/>
        </w:rPr>
        <w:drawing>
          <wp:inline distT="0" distB="0" distL="0" distR="0" wp14:anchorId="335657C9" wp14:editId="23D78E75">
            <wp:extent cx="2572603" cy="1928912"/>
            <wp:effectExtent l="0" t="0" r="0" b="0"/>
            <wp:docPr id="236411213" name="Grafik 2" descr="Ein Bild, das Gras, Himmel, Wolke,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11213" name="Grafik 2" descr="Ein Bild, das Gras, Himmel, Wolke,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589445" cy="1941540"/>
                    </a:xfrm>
                    <a:prstGeom prst="rect">
                      <a:avLst/>
                    </a:prstGeom>
                    <a:noFill/>
                    <a:ln>
                      <a:noFill/>
                    </a:ln>
                  </pic:spPr>
                </pic:pic>
              </a:graphicData>
            </a:graphic>
          </wp:inline>
        </w:drawing>
      </w:r>
    </w:p>
    <w:p w14:paraId="26A3AABA" w14:textId="77777777" w:rsidR="00B8417F" w:rsidRPr="004C05E9" w:rsidRDefault="00B8417F" w:rsidP="00B8417F">
      <w:pPr>
        <w:pStyle w:val="BUbold"/>
        <w:rPr>
          <w:szCs w:val="20"/>
        </w:rPr>
      </w:pPr>
      <w:r w:rsidRPr="004C05E9">
        <w:rPr>
          <w:bCs/>
          <w:szCs w:val="20"/>
          <w:lang w:val="en-US"/>
        </w:rPr>
        <w:t>WG_pic_composing_Cycle_09116</w:t>
      </w:r>
    </w:p>
    <w:p w14:paraId="6FD96202" w14:textId="4AF49514" w:rsidR="00B8417F" w:rsidRDefault="00B8417F" w:rsidP="00B8417F">
      <w:pPr>
        <w:pStyle w:val="Text"/>
        <w:rPr>
          <w:sz w:val="20"/>
          <w:szCs w:val="20"/>
          <w:lang w:val="en-US"/>
        </w:rPr>
      </w:pPr>
      <w:r w:rsidRPr="00FD0929">
        <w:rPr>
          <w:sz w:val="20"/>
          <w:szCs w:val="20"/>
          <w:lang w:val="en-US"/>
        </w:rPr>
        <w:t xml:space="preserve">As a technology driver in the construction industry, the </w:t>
      </w:r>
      <w:r>
        <w:rPr>
          <w:sz w:val="20"/>
          <w:szCs w:val="20"/>
          <w:lang w:val="en-US"/>
        </w:rPr>
        <w:t>Wirtgen Group</w:t>
      </w:r>
      <w:r w:rsidRPr="00FD0929">
        <w:rPr>
          <w:sz w:val="20"/>
          <w:szCs w:val="20"/>
          <w:lang w:val="en-US"/>
        </w:rPr>
        <w:t xml:space="preserve"> is a strong partner for the road construction, earthworks and materials processing sectors. With a comprehensive range of machines, plants and technology solutions </w:t>
      </w:r>
      <w:r>
        <w:rPr>
          <w:sz w:val="20"/>
          <w:szCs w:val="20"/>
          <w:lang w:val="en-US"/>
        </w:rPr>
        <w:t xml:space="preserve">Wirtgen Group </w:t>
      </w:r>
      <w:r w:rsidRPr="00FD0929">
        <w:rPr>
          <w:sz w:val="20"/>
          <w:szCs w:val="20"/>
          <w:lang w:val="en-US"/>
        </w:rPr>
        <w:t>provide</w:t>
      </w:r>
      <w:r>
        <w:rPr>
          <w:sz w:val="20"/>
          <w:szCs w:val="20"/>
          <w:lang w:val="en-US"/>
        </w:rPr>
        <w:t>s</w:t>
      </w:r>
      <w:r w:rsidRPr="00FD0929">
        <w:rPr>
          <w:sz w:val="20"/>
          <w:szCs w:val="20"/>
          <w:lang w:val="en-US"/>
        </w:rPr>
        <w:t xml:space="preserve"> end-to-end coverage of the construction process chain </w:t>
      </w:r>
      <w:r>
        <w:rPr>
          <w:sz w:val="20"/>
          <w:szCs w:val="20"/>
          <w:lang w:val="en-US"/>
        </w:rPr>
        <w:t>supporting customers</w:t>
      </w:r>
      <w:r w:rsidRPr="00FD0929">
        <w:rPr>
          <w:sz w:val="20"/>
          <w:szCs w:val="20"/>
          <w:lang w:val="en-US"/>
        </w:rPr>
        <w:t xml:space="preserve"> to achieve excellence on their projects.</w:t>
      </w:r>
    </w:p>
    <w:p w14:paraId="76E53FA2" w14:textId="77777777" w:rsidR="00B8417F" w:rsidRDefault="00B8417F" w:rsidP="00B8417F">
      <w:pPr>
        <w:pStyle w:val="Text"/>
        <w:rPr>
          <w:sz w:val="20"/>
          <w:szCs w:val="20"/>
          <w:lang w:val="en-US"/>
        </w:rPr>
      </w:pPr>
    </w:p>
    <w:p w14:paraId="0191C8A9" w14:textId="77777777" w:rsidR="00B8417F" w:rsidRDefault="00B8417F" w:rsidP="00B8417F">
      <w:pPr>
        <w:pStyle w:val="Text"/>
        <w:rPr>
          <w:sz w:val="20"/>
          <w:szCs w:val="20"/>
          <w:lang w:val="en-US"/>
        </w:rPr>
      </w:pPr>
    </w:p>
    <w:p w14:paraId="50CBBE74" w14:textId="4C23CF6B" w:rsidR="00B8417F" w:rsidRPr="00FD0929" w:rsidRDefault="00B8417F" w:rsidP="00B8417F">
      <w:pPr>
        <w:pStyle w:val="Text"/>
        <w:rPr>
          <w:i/>
          <w:sz w:val="20"/>
          <w:szCs w:val="20"/>
        </w:rPr>
      </w:pPr>
      <w:r w:rsidRPr="00FD0929">
        <w:rPr>
          <w:i/>
          <w:sz w:val="20"/>
          <w:szCs w:val="20"/>
          <w:lang w:val="en-US"/>
        </w:rPr>
        <w:t xml:space="preserve">Note: The photograph shown here is </w:t>
      </w:r>
      <w:r>
        <w:rPr>
          <w:i/>
          <w:sz w:val="20"/>
          <w:szCs w:val="20"/>
          <w:lang w:val="en-US"/>
        </w:rPr>
        <w:t xml:space="preserve">a </w:t>
      </w:r>
      <w:r w:rsidRPr="00FD0929">
        <w:rPr>
          <w:i/>
          <w:sz w:val="20"/>
          <w:szCs w:val="20"/>
          <w:lang w:val="en-US"/>
        </w:rPr>
        <w:t>preview</w:t>
      </w:r>
      <w:r>
        <w:rPr>
          <w:i/>
          <w:sz w:val="20"/>
          <w:szCs w:val="20"/>
          <w:lang w:val="en-US"/>
        </w:rPr>
        <w:t xml:space="preserve"> </w:t>
      </w:r>
      <w:r w:rsidRPr="00FD0929">
        <w:rPr>
          <w:i/>
          <w:sz w:val="20"/>
          <w:szCs w:val="20"/>
          <w:lang w:val="en-US"/>
        </w:rPr>
        <w:t>only. Please download the high resolution (300 dpi) version attached to this email.</w:t>
      </w:r>
    </w:p>
    <w:p w14:paraId="1800670F" w14:textId="77777777" w:rsidR="00B8417F" w:rsidRDefault="00B8417F" w:rsidP="00AD76CB">
      <w:pPr>
        <w:pStyle w:val="Fotos"/>
        <w:jc w:val="both"/>
        <w:rPr>
          <w:lang w:val="pt-BR"/>
        </w:rPr>
      </w:pPr>
    </w:p>
    <w:p w14:paraId="61DBE66D" w14:textId="77777777" w:rsidR="00B8417F" w:rsidRPr="00F64721" w:rsidRDefault="00B8417F" w:rsidP="00AD76CB">
      <w:pPr>
        <w:pStyle w:val="Fotos"/>
        <w:jc w:val="both"/>
        <w:rPr>
          <w:lang w:val="pt-BR"/>
        </w:rPr>
      </w:pPr>
    </w:p>
    <w:p w14:paraId="20798CCB" w14:textId="7EBC940F" w:rsidR="00DA3FAA" w:rsidRDefault="00B81B93">
      <w:pPr>
        <w:pStyle w:val="Absatzberschrift"/>
        <w:rPr>
          <w:iCs/>
          <w:lang w:val="en-US"/>
        </w:rPr>
      </w:pPr>
      <w:r>
        <w:rPr>
          <w:iCs/>
          <w:lang w:val="en-US"/>
        </w:rPr>
        <w:t>For further information please contact:</w:t>
      </w:r>
    </w:p>
    <w:p w14:paraId="721B1D89" w14:textId="77777777" w:rsidR="00DA3FAA" w:rsidRDefault="00DA3FAA">
      <w:pPr>
        <w:pStyle w:val="Absatzberschrift"/>
        <w:rPr>
          <w:lang w:val="en-US"/>
        </w:rPr>
      </w:pPr>
    </w:p>
    <w:p w14:paraId="15491027" w14:textId="77777777" w:rsidR="00DA3FAA" w:rsidRDefault="00B81B93">
      <w:pPr>
        <w:pStyle w:val="Absatzberschrift"/>
        <w:rPr>
          <w:b w:val="0"/>
          <w:bCs/>
          <w:szCs w:val="22"/>
        </w:rPr>
      </w:pPr>
      <w:r>
        <w:rPr>
          <w:b w:val="0"/>
          <w:bCs/>
        </w:rPr>
        <w:t>WIRTGEN GROUP</w:t>
      </w:r>
    </w:p>
    <w:p w14:paraId="2EFD538E" w14:textId="77777777" w:rsidR="00DA3FAA" w:rsidRDefault="00B81B93">
      <w:pPr>
        <w:pStyle w:val="Fuzeile1"/>
      </w:pPr>
      <w:r>
        <w:t>Public Relations</w:t>
      </w:r>
    </w:p>
    <w:p w14:paraId="477B2895" w14:textId="77777777" w:rsidR="00DA3FAA" w:rsidRDefault="00B81B93">
      <w:pPr>
        <w:pStyle w:val="Fuzeile1"/>
      </w:pPr>
      <w:r>
        <w:t>Reinhard-Wirtgen-Straße 2</w:t>
      </w:r>
    </w:p>
    <w:p w14:paraId="5AD0A63B" w14:textId="77777777" w:rsidR="00DA3FAA" w:rsidRDefault="00B81B93">
      <w:pPr>
        <w:pStyle w:val="Fuzeile1"/>
        <w:rPr>
          <w:lang w:val="en-US"/>
        </w:rPr>
      </w:pPr>
      <w:r>
        <w:rPr>
          <w:lang w:val="en-US"/>
        </w:rPr>
        <w:t>53578 Windhagen</w:t>
      </w:r>
    </w:p>
    <w:p w14:paraId="118617ED" w14:textId="77777777" w:rsidR="00DA3FAA" w:rsidRDefault="00B81B93">
      <w:pPr>
        <w:pStyle w:val="Fuzeile1"/>
        <w:rPr>
          <w:lang w:val="en-US"/>
        </w:rPr>
      </w:pPr>
      <w:r>
        <w:rPr>
          <w:lang w:val="en-US"/>
        </w:rPr>
        <w:t>Germany</w:t>
      </w:r>
    </w:p>
    <w:p w14:paraId="6050A78D" w14:textId="77777777" w:rsidR="00DA3FAA" w:rsidRDefault="00DA3FAA">
      <w:pPr>
        <w:pStyle w:val="Fuzeile1"/>
        <w:rPr>
          <w:lang w:val="en-US"/>
        </w:rPr>
      </w:pPr>
    </w:p>
    <w:p w14:paraId="1138BEDE" w14:textId="77777777" w:rsidR="00DA3FAA" w:rsidRDefault="00B81B93">
      <w:pPr>
        <w:pStyle w:val="Fuzeile1"/>
        <w:rPr>
          <w:lang w:val="en-US"/>
        </w:rPr>
      </w:pPr>
      <w:r>
        <w:rPr>
          <w:lang w:val="en-US"/>
        </w:rPr>
        <w:t>Phone:   +49 (0) 2645 131 – 1966</w:t>
      </w:r>
    </w:p>
    <w:p w14:paraId="48FEFAAD" w14:textId="77777777" w:rsidR="00DA3FAA" w:rsidRDefault="00B81B93">
      <w:pPr>
        <w:pStyle w:val="Fuzeile1"/>
        <w:rPr>
          <w:lang w:val="en-US"/>
        </w:rPr>
      </w:pPr>
      <w:r>
        <w:rPr>
          <w:lang w:val="en-US"/>
        </w:rPr>
        <w:t>Fax:       +49 (0) 2645 131 – 499</w:t>
      </w:r>
    </w:p>
    <w:p w14:paraId="78E3A93E" w14:textId="77777777" w:rsidR="00DA3FAA" w:rsidRDefault="00B81B93">
      <w:pPr>
        <w:pStyle w:val="Fuzeile1"/>
        <w:rPr>
          <w:lang w:val="en-US"/>
        </w:rPr>
      </w:pPr>
      <w:r>
        <w:rPr>
          <w:lang w:val="en-US"/>
        </w:rPr>
        <w:t xml:space="preserve">E-mail:   </w:t>
      </w:r>
      <w:hyperlink r:id="rId9">
        <w:r w:rsidR="00DA3FAA">
          <w:rPr>
            <w:rStyle w:val="Hyperlink"/>
            <w:lang w:val="en-US"/>
          </w:rPr>
          <w:t>PR@wirtgen-group.com</w:t>
        </w:r>
      </w:hyperlink>
    </w:p>
    <w:p w14:paraId="50E0AD07" w14:textId="77777777" w:rsidR="00DA3FAA" w:rsidRDefault="00DA3FAA">
      <w:pPr>
        <w:pStyle w:val="Fuzeile1"/>
        <w:rPr>
          <w:lang w:val="en-US"/>
        </w:rPr>
      </w:pPr>
      <w:hyperlink r:id="rId10">
        <w:r>
          <w:rPr>
            <w:rStyle w:val="Hyperlink"/>
            <w:lang w:val="en-US"/>
          </w:rPr>
          <w:t>www.wirtgen-group.com</w:t>
        </w:r>
      </w:hyperlink>
    </w:p>
    <w:p w14:paraId="565AC8F9" w14:textId="77777777" w:rsidR="00DA3FAA" w:rsidRDefault="00DA3FAA">
      <w:pPr>
        <w:pStyle w:val="Fuzeile1"/>
        <w:rPr>
          <w:lang w:val="en-US"/>
        </w:rPr>
      </w:pPr>
    </w:p>
    <w:sectPr w:rsidR="00DA3FAA">
      <w:headerReference w:type="even" r:id="rId11"/>
      <w:headerReference w:type="default" r:id="rId12"/>
      <w:footerReference w:type="even" r:id="rId13"/>
      <w:footerReference w:type="default" r:id="rId14"/>
      <w:headerReference w:type="first" r:id="rId15"/>
      <w:footerReference w:type="first" r:id="rId16"/>
      <w:pgSz w:w="11906" w:h="16838"/>
      <w:pgMar w:top="2268" w:right="1191" w:bottom="964" w:left="119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A49D" w14:textId="77777777" w:rsidR="00816860" w:rsidRDefault="00816860">
      <w:r>
        <w:separator/>
      </w:r>
    </w:p>
  </w:endnote>
  <w:endnote w:type="continuationSeparator" w:id="0">
    <w:p w14:paraId="3AE84654" w14:textId="77777777" w:rsidR="00816860" w:rsidRDefault="0081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CA6D" w14:textId="77777777" w:rsidR="00DA3FAA" w:rsidRDefault="00DA3F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9524" w:type="dxa"/>
      <w:tblLayout w:type="fixed"/>
      <w:tblCellMar>
        <w:left w:w="0" w:type="dxa"/>
        <w:right w:w="0" w:type="dxa"/>
      </w:tblCellMar>
      <w:tblLook w:val="04A0" w:firstRow="1" w:lastRow="0" w:firstColumn="1" w:lastColumn="0" w:noHBand="0" w:noVBand="1"/>
    </w:tblPr>
    <w:tblGrid>
      <w:gridCol w:w="8364"/>
      <w:gridCol w:w="1160"/>
    </w:tblGrid>
    <w:tr w:rsidR="00DA3FAA" w14:paraId="5DA78BA2" w14:textId="77777777">
      <w:trPr>
        <w:trHeight w:hRule="exact" w:val="227"/>
      </w:trPr>
      <w:tc>
        <w:tcPr>
          <w:tcW w:w="8363" w:type="dxa"/>
        </w:tcPr>
        <w:p w14:paraId="2939F346" w14:textId="77777777" w:rsidR="00DA3FAA" w:rsidRDefault="00B81B93">
          <w:pPr>
            <w:pStyle w:val="Kolumnentitel"/>
            <w:widowControl w:val="0"/>
            <w:rPr>
              <w:szCs w:val="20"/>
            </w:rPr>
          </w:pPr>
          <w:r>
            <w:rPr>
              <w:rStyle w:val="MittleresRaster11"/>
              <w:szCs w:val="20"/>
            </w:rPr>
            <w:t xml:space="preserve">     </w:t>
          </w:r>
        </w:p>
      </w:tc>
      <w:tc>
        <w:tcPr>
          <w:tcW w:w="1160" w:type="dxa"/>
        </w:tcPr>
        <w:p w14:paraId="2F36A011" w14:textId="77777777" w:rsidR="00DA3FAA" w:rsidRDefault="00B81B93">
          <w:pPr>
            <w:pStyle w:val="Seitenzahlen"/>
            <w:widowControl w:val="0"/>
            <w:rPr>
              <w:szCs w:val="20"/>
            </w:rPr>
          </w:pPr>
          <w:r>
            <w:rPr>
              <w:szCs w:val="20"/>
            </w:rPr>
            <w:fldChar w:fldCharType="begin"/>
          </w:r>
          <w:r>
            <w:rPr>
              <w:szCs w:val="20"/>
            </w:rPr>
            <w:instrText xml:space="preserve"> PAGE </w:instrText>
          </w:r>
          <w:r>
            <w:rPr>
              <w:szCs w:val="20"/>
            </w:rPr>
            <w:fldChar w:fldCharType="separate"/>
          </w:r>
          <w:r>
            <w:rPr>
              <w:szCs w:val="20"/>
            </w:rPr>
            <w:t>2</w:t>
          </w:r>
          <w:r>
            <w:rPr>
              <w:szCs w:val="20"/>
            </w:rPr>
            <w:fldChar w:fldCharType="end"/>
          </w:r>
        </w:p>
      </w:tc>
    </w:tr>
  </w:tbl>
  <w:p w14:paraId="7FA4AF6C" w14:textId="77777777" w:rsidR="00DA3FAA" w:rsidRDefault="00B81B93">
    <w:pPr>
      <w:pStyle w:val="Fuzeile"/>
    </w:pPr>
    <w:r>
      <w:rPr>
        <w:noProof/>
      </w:rPr>
      <mc:AlternateContent>
        <mc:Choice Requires="wps">
          <w:drawing>
            <wp:anchor distT="0" distB="1270" distL="0" distR="0" simplePos="0" relativeHeight="251656704" behindDoc="1" locked="0" layoutInCell="0" allowOverlap="1" wp14:anchorId="01A2937A" wp14:editId="55006A70">
              <wp:simplePos x="0" y="0"/>
              <wp:positionH relativeFrom="page">
                <wp:posOffset>756285</wp:posOffset>
              </wp:positionH>
              <wp:positionV relativeFrom="page">
                <wp:posOffset>10189210</wp:posOffset>
              </wp:positionV>
              <wp:extent cx="6047740" cy="17780"/>
              <wp:effectExtent l="0" t="0" r="0" b="1270"/>
              <wp:wrapNone/>
              <wp:docPr id="8" name="Rechteck 12"/>
              <wp:cNvGraphicFramePr/>
              <a:graphic xmlns:a="http://schemas.openxmlformats.org/drawingml/2006/main">
                <a:graphicData uri="http://schemas.microsoft.com/office/word/2010/wordprocessingShape">
                  <wps:wsp>
                    <wps:cNvSpPr/>
                    <wps:spPr>
                      <a:xfrm>
                        <a:off x="0" y="0"/>
                        <a:ext cx="6047640" cy="17640"/>
                      </a:xfrm>
                      <a:prstGeom prst="rect">
                        <a:avLst/>
                      </a:prstGeom>
                      <a:solidFill>
                        <a:srgbClr val="41535D"/>
                      </a:solidFill>
                      <a:ln w="2540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Rechteck 12" path="m0,0l-2147483645,0l-2147483645,-2147483646l0,-2147483646xe" fillcolor="#41535d" stroked="f" o:allowincell="f" style="position:absolute;margin-left:59.55pt;margin-top:802.3pt;width:476.15pt;height:1.35pt;mso-wrap-style:none;v-text-anchor:middle;mso-position-horizontal-relative:page;mso-position-vertical-relative:page" wp14:anchorId="1AF49604">
              <v:fill o:detectmouseclick="t" type="solid" color2="#beaca2"/>
              <v:stroke color="#3465a4" weight="25560" joinstyle="round" endcap="flat"/>
              <w10:wrap type="non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9524" w:type="dxa"/>
      <w:tblLayout w:type="fixed"/>
      <w:tblCellMar>
        <w:left w:w="0" w:type="dxa"/>
        <w:right w:w="0" w:type="dxa"/>
      </w:tblCellMar>
      <w:tblLook w:val="04A0" w:firstRow="1" w:lastRow="0" w:firstColumn="1" w:lastColumn="0" w:noHBand="0" w:noVBand="1"/>
    </w:tblPr>
    <w:tblGrid>
      <w:gridCol w:w="8364"/>
      <w:gridCol w:w="1160"/>
    </w:tblGrid>
    <w:tr w:rsidR="00DA3FAA" w14:paraId="61ED612B" w14:textId="77777777">
      <w:trPr>
        <w:trHeight w:hRule="exact" w:val="227"/>
      </w:trPr>
      <w:tc>
        <w:tcPr>
          <w:tcW w:w="8363" w:type="dxa"/>
        </w:tcPr>
        <w:p w14:paraId="688E708F" w14:textId="77777777" w:rsidR="00DA3FAA" w:rsidRDefault="00B81B93">
          <w:pPr>
            <w:pStyle w:val="Kolumnentitel"/>
            <w:widowControl w:val="0"/>
            <w:rPr>
              <w:szCs w:val="20"/>
            </w:rPr>
          </w:pPr>
          <w:r>
            <w:rPr>
              <w:rStyle w:val="MittleresRaster11"/>
              <w:szCs w:val="20"/>
            </w:rPr>
            <w:t xml:space="preserve">     </w:t>
          </w:r>
        </w:p>
      </w:tc>
      <w:tc>
        <w:tcPr>
          <w:tcW w:w="1160" w:type="dxa"/>
        </w:tcPr>
        <w:p w14:paraId="3B81141D" w14:textId="77777777" w:rsidR="00DA3FAA" w:rsidRDefault="00B81B93">
          <w:pPr>
            <w:pStyle w:val="Seitenzahlen"/>
            <w:widowControl w:val="0"/>
            <w:rPr>
              <w:szCs w:val="20"/>
            </w:rPr>
          </w:pPr>
          <w:r>
            <w:rPr>
              <w:szCs w:val="20"/>
            </w:rPr>
            <w:fldChar w:fldCharType="begin"/>
          </w:r>
          <w:r>
            <w:rPr>
              <w:szCs w:val="20"/>
            </w:rPr>
            <w:instrText xml:space="preserve"> PAGE </w:instrText>
          </w:r>
          <w:r>
            <w:rPr>
              <w:szCs w:val="20"/>
            </w:rPr>
            <w:fldChar w:fldCharType="separate"/>
          </w:r>
          <w:r>
            <w:rPr>
              <w:szCs w:val="20"/>
            </w:rPr>
            <w:t>2</w:t>
          </w:r>
          <w:r>
            <w:rPr>
              <w:szCs w:val="20"/>
            </w:rPr>
            <w:fldChar w:fldCharType="end"/>
          </w:r>
        </w:p>
      </w:tc>
    </w:tr>
  </w:tbl>
  <w:p w14:paraId="6AB59725" w14:textId="77777777" w:rsidR="00DA3FAA" w:rsidRDefault="00B81B93">
    <w:pPr>
      <w:pStyle w:val="Fuzeile"/>
    </w:pPr>
    <w:r>
      <w:rPr>
        <w:noProof/>
      </w:rPr>
      <mc:AlternateContent>
        <mc:Choice Requires="wps">
          <w:drawing>
            <wp:anchor distT="0" distB="1270" distL="0" distR="0" simplePos="0" relativeHeight="251657728" behindDoc="1" locked="0" layoutInCell="0" allowOverlap="1" wp14:anchorId="1B4AB338" wp14:editId="1BCA1F46">
              <wp:simplePos x="0" y="0"/>
              <wp:positionH relativeFrom="page">
                <wp:posOffset>756285</wp:posOffset>
              </wp:positionH>
              <wp:positionV relativeFrom="page">
                <wp:posOffset>10189210</wp:posOffset>
              </wp:positionV>
              <wp:extent cx="6047740" cy="17780"/>
              <wp:effectExtent l="0" t="0" r="0" b="1270"/>
              <wp:wrapNone/>
              <wp:docPr id="9" name="Rechteck 12"/>
              <wp:cNvGraphicFramePr/>
              <a:graphic xmlns:a="http://schemas.openxmlformats.org/drawingml/2006/main">
                <a:graphicData uri="http://schemas.microsoft.com/office/word/2010/wordprocessingShape">
                  <wps:wsp>
                    <wps:cNvSpPr/>
                    <wps:spPr>
                      <a:xfrm>
                        <a:off x="0" y="0"/>
                        <a:ext cx="6047640" cy="17640"/>
                      </a:xfrm>
                      <a:prstGeom prst="rect">
                        <a:avLst/>
                      </a:prstGeom>
                      <a:solidFill>
                        <a:srgbClr val="41535D"/>
                      </a:solidFill>
                      <a:ln w="2540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Rechteck 12" path="m0,0l-2147483645,0l-2147483645,-2147483646l0,-2147483646xe" fillcolor="#41535d" stroked="f" o:allowincell="f" style="position:absolute;margin-left:59.55pt;margin-top:802.3pt;width:476.15pt;height:1.35pt;mso-wrap-style:none;v-text-anchor:middle;mso-position-horizontal-relative:page;mso-position-vertical-relative:page" wp14:anchorId="1AF49604">
              <v:fill o:detectmouseclick="t" type="solid" color2="#beaca2"/>
              <v:stroke color="#3465a4" weight="25560" joinstyle="round" endcap="flat"/>
              <w10:wrap type="non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27060" w14:textId="77777777" w:rsidR="00816860" w:rsidRDefault="00816860">
      <w:r>
        <w:separator/>
      </w:r>
    </w:p>
  </w:footnote>
  <w:footnote w:type="continuationSeparator" w:id="0">
    <w:p w14:paraId="3BBBE8C5" w14:textId="77777777" w:rsidR="00816860" w:rsidRDefault="00816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F546" w14:textId="64933BFB" w:rsidR="00DA3FAA" w:rsidRDefault="007767B2">
    <w:pPr>
      <w:pStyle w:val="Kopfzeile"/>
    </w:pPr>
    <w:r>
      <w:rPr>
        <w:noProof/>
      </w:rPr>
      <mc:AlternateContent>
        <mc:Choice Requires="wps">
          <w:drawing>
            <wp:anchor distT="0" distB="0" distL="0" distR="0" simplePos="0" relativeHeight="251662848" behindDoc="0" locked="0" layoutInCell="1" allowOverlap="1" wp14:anchorId="7F70FAC6" wp14:editId="4C18F996">
              <wp:simplePos x="635" y="635"/>
              <wp:positionH relativeFrom="page">
                <wp:align>right</wp:align>
              </wp:positionH>
              <wp:positionV relativeFrom="page">
                <wp:align>top</wp:align>
              </wp:positionV>
              <wp:extent cx="565150" cy="345440"/>
              <wp:effectExtent l="0" t="0" r="0" b="16510"/>
              <wp:wrapNone/>
              <wp:docPr id="443109317"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45440"/>
                      </a:xfrm>
                      <a:prstGeom prst="rect">
                        <a:avLst/>
                      </a:prstGeom>
                      <a:noFill/>
                      <a:ln>
                        <a:noFill/>
                      </a:ln>
                    </wps:spPr>
                    <wps:txbx>
                      <w:txbxContent>
                        <w:p w14:paraId="4DF6295F" w14:textId="779E11C0" w:rsidR="007767B2" w:rsidRPr="007767B2" w:rsidRDefault="007767B2" w:rsidP="007767B2">
                          <w:pPr>
                            <w:rPr>
                              <w:rFonts w:ascii="Calibri" w:eastAsia="Calibri" w:hAnsi="Calibri" w:cs="Calibri"/>
                              <w:noProof/>
                              <w:color w:val="FF0000"/>
                              <w:sz w:val="20"/>
                              <w:szCs w:val="20"/>
                            </w:rPr>
                          </w:pPr>
                          <w:r w:rsidRPr="007767B2">
                            <w:rPr>
                              <w:rFonts w:ascii="Calibri" w:eastAsia="Calibri" w:hAnsi="Calibri" w:cs="Calibri"/>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70FAC6" id="_x0000_t202" coordsize="21600,21600" o:spt="202" path="m,l,21600r21600,l21600,xe">
              <v:stroke joinstyle="miter"/>
              <v:path gradientshapeok="t" o:connecttype="rect"/>
            </v:shapetype>
            <v:shape id="Textfeld 2" o:spid="_x0000_s1026" type="#_x0000_t202" alt="Public" style="position:absolute;margin-left:-6.7pt;margin-top:0;width:44.5pt;height:27.2pt;z-index:2516628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WLADgIAABoEAAAOAAAAZHJzL2Uyb0RvYy54bWysU0tv2zAMvg/YfxB0X+xkcbEZcYqsRYYB&#10;RVsgHXpWZDk2IImCxMTOfv0oxUm2bqdhF5kv8/Hx4+J2MJodlA8d2IpPJzlnykqoO7ur+PeX9YdP&#10;nAUUthYarKr4UQV+u3z/btG7Us2gBV0rzyiJDWXvKt4iujLLgmyVEWECTllyNuCNQFL9Lqu96Cm7&#10;0dksz2+yHnztPEgVAlnvT06+TPmbRkl8apqgkOmKU2+YXp/ebXyz5UKUOy9c28mxDfEPXRjRWSp6&#10;SXUvULC97/5IZTrpIUCDEwkmg6bppEoz0DTT/M00m1Y4lWYhcIK7wBT+X1r5eNi4Z89w+AIDLTAC&#10;0rtQBjLGeYbGm/ilThn5CcLjBTY1IJNkLG6KaUEeSa6P82I+T7Bm15+dD/hVgWFRqLinrSSwxOEh&#10;IBWk0HNIrGVh3WmdNqPtbwYKjJbs2mGUcNgOY9tbqI80jYfTooOT645qPoiAz8LTZqlNYis+0dNo&#10;6CsOo8RZC/7H3+wxngAnL2c9MaXilqjMmf5maRGRVEmYfs6LnDSftFkxz6O2PQfZvbkDIuGU7sHJ&#10;JMZg1Gex8WBeicyrWI1cwkqqWXE8i3d44i0dg1SrVQoiEjmBD3bjZEwdwYpIvgyvwrsRbqQ9PcKZ&#10;S6J8g/opNv4Z3GqPhH1aSQT2hOaINxEwbWo8lsjwX/UUdT3p5U8AAAD//wMAUEsDBBQABgAIAAAA&#10;IQD2m1Mr3AAAAAMBAAAPAAAAZHJzL2Rvd25yZXYueG1sTI9BS8NAEIXvgv9hGcGL2I1aSxqzKSIU&#10;7MGDtTl422SnSTA7G3a3afLvHb3o5cHjDe99k28m24sRfegcKbhbJCCQamc6ahQcPra3KYgQNRnd&#10;O0IFMwbYFJcXuc6MO9M7jvvYCC6hkGkFbYxDJmWoW7Q6LNyAxNnReasjW99I4/WZy20v75NkJa3u&#10;iBdaPeBLi/XX/mQVlJO/eduud69z9dmNc7IrH9JjqdT11fT8BCLiFP+O4Qef0aFgpsqdyATRK+BH&#10;4q9ylq7ZVQoel0uQRS7/sxffAAAA//8DAFBLAQItABQABgAIAAAAIQC2gziS/gAAAOEBAAATAAAA&#10;AAAAAAAAAAAAAAAAAABbQ29udGVudF9UeXBlc10ueG1sUEsBAi0AFAAGAAgAAAAhADj9If/WAAAA&#10;lAEAAAsAAAAAAAAAAAAAAAAALwEAAF9yZWxzLy5yZWxzUEsBAi0AFAAGAAgAAAAhAGtVYsAOAgAA&#10;GgQAAA4AAAAAAAAAAAAAAAAALgIAAGRycy9lMm9Eb2MueG1sUEsBAi0AFAAGAAgAAAAhAPabUyvc&#10;AAAAAwEAAA8AAAAAAAAAAAAAAAAAaAQAAGRycy9kb3ducmV2LnhtbFBLBQYAAAAABAAEAPMAAABx&#10;BQAAAAA=&#10;" filled="f" stroked="f">
              <v:textbox style="mso-fit-shape-to-text:t" inset="0,15pt,20pt,0">
                <w:txbxContent>
                  <w:p w14:paraId="4DF6295F" w14:textId="779E11C0" w:rsidR="007767B2" w:rsidRPr="007767B2" w:rsidRDefault="007767B2" w:rsidP="007767B2">
                    <w:pPr>
                      <w:rPr>
                        <w:rFonts w:ascii="Calibri" w:eastAsia="Calibri" w:hAnsi="Calibri" w:cs="Calibri"/>
                        <w:noProof/>
                        <w:color w:val="FF0000"/>
                        <w:sz w:val="20"/>
                        <w:szCs w:val="20"/>
                      </w:rPr>
                    </w:pPr>
                    <w:r w:rsidRPr="007767B2">
                      <w:rPr>
                        <w:rFonts w:ascii="Calibri" w:eastAsia="Calibri" w:hAnsi="Calibri" w:cs="Calibri"/>
                        <w:noProof/>
                        <w:color w:val="FF0000"/>
                        <w:sz w:val="20"/>
                        <w:szCs w:val="20"/>
                      </w:rPr>
                      <w:t>Public</w:t>
                    </w:r>
                  </w:p>
                </w:txbxContent>
              </v:textbox>
              <w10:wrap anchorx="page" anchory="page"/>
            </v:shape>
          </w:pict>
        </mc:Fallback>
      </mc:AlternateContent>
    </w:r>
    <w:r w:rsidR="001F16BA">
      <w:rPr>
        <w:noProof/>
      </w:rPr>
      <mc:AlternateContent>
        <mc:Choice Requires="wps">
          <w:drawing>
            <wp:anchor distT="0" distB="33020" distL="0" distR="0" simplePos="0" relativeHeight="251658752" behindDoc="0" locked="0" layoutInCell="0" allowOverlap="1" wp14:anchorId="46047DA6" wp14:editId="3555155C">
              <wp:simplePos x="0" y="0"/>
              <wp:positionH relativeFrom="rightMargin">
                <wp:align>right</wp:align>
              </wp:positionH>
              <wp:positionV relativeFrom="paragraph">
                <wp:posOffset>635</wp:posOffset>
              </wp:positionV>
              <wp:extent cx="443865" cy="443865"/>
              <wp:effectExtent l="0" t="0" r="0" b="16510"/>
              <wp:wrapSquare wrapText="bothSides"/>
              <wp:docPr id="3" name="Textfeld 13" descr="Company Use"/>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341E6F30" w14:textId="77777777" w:rsidR="00DA3FAA" w:rsidRDefault="00B81B93">
                          <w:pPr>
                            <w:pStyle w:val="FrameContents"/>
                            <w:rPr>
                              <w:rFonts w:ascii="Calibri" w:eastAsia="Calibri" w:hAnsi="Calibri" w:cs="Calibri"/>
                              <w:color w:val="FF0000"/>
                              <w:sz w:val="20"/>
                              <w:szCs w:val="20"/>
                            </w:rPr>
                          </w:pPr>
                          <w:r>
                            <w:rPr>
                              <w:rFonts w:ascii="Calibri" w:eastAsia="Calibri" w:hAnsi="Calibri" w:cs="Calibri"/>
                              <w:color w:val="FF0000"/>
                              <w:sz w:val="20"/>
                              <w:szCs w:val="20"/>
                            </w:rPr>
                            <w:t>Company Use</w:t>
                          </w:r>
                        </w:p>
                      </w:txbxContent>
                    </wps:txbx>
                    <wps:bodyPr lIns="0" tIns="0" rIns="190440" bIns="0" anchor="t">
                      <a:prstTxWarp prst="textNoShape">
                        <a:avLst/>
                      </a:prstTxWarp>
                      <a:spAutoFit/>
                    </wps:bodyPr>
                  </wps:wsp>
                </a:graphicData>
              </a:graphic>
            </wp:anchor>
          </w:drawing>
        </mc:Choice>
        <mc:Fallback>
          <w:pict>
            <v:rect w14:anchorId="46047DA6" id="Textfeld 13" o:spid="_x0000_s1027" alt="Company Use" style="position:absolute;margin-left:-16.25pt;margin-top:.05pt;width:34.95pt;height:34.95pt;z-index:251658752;visibility:visible;mso-wrap-style:square;mso-wrap-distance-left:0;mso-wrap-distance-top:0;mso-wrap-distance-right:0;mso-wrap-distance-bottom:2.6pt;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Vai5QEAAEEEAAAOAAAAZHJzL2Uyb0RvYy54bWysU01v1DAQvSPxHyzf2WTLCi3RZitEVYSE&#10;SkWLOHsde2PJ8Vhjd5P994ydjy3lVMTFmYzn67033l0PnWUnhcGAq/l6VXKmnITGuGPNfz7evtty&#10;FqJwjbDgVM3PKvDr/ds3u95X6gpasI1CRkVcqHpf8zZGXxVFkK3qRFiBV44uNWAnIv3isWhQ9FS9&#10;s8VVWX4oesDGI0gVAnlvxku+z/W1VjJ+1zqoyGzNabaYT8znIZ3FfieqIwrfGjmNIf5hik4YR02X&#10;UjciCvaE5q9SnZEIAXRcSegK0NpIlTEQmnX5As1DK7zKWIic4Beawv8rK+9OD/4eiYbehyqQmVAM&#10;Grv0pfnYkMk6L2SpITJJzs3m/XZLlEq6mmyqUlySPYb4RUHHklFzJC0yReL0LcQxdA5JvRzcGmuz&#10;HtaxPvX7w02VraMGlzmzFc9WpTjrfijNTJPHTY4g8Xj4bJGNatM60rCz5rkYJaRATW1fmTulpGyV&#10;l+yV+UtS7g8uLvmdcYBpK0ecI7oENA6HgeDRG0u3yXOA5nyPzH51tA9pt2cDs7H+WG42CfLsFk62&#10;QGSMKiTqH4dfAv2kTyRh72BeOVG9kGmMzcT6T0+RxMoaXgaZRqY9zVswvan0EJ7/56jLy9//BgAA&#10;//8DAFBLAwQUAAYACAAAACEAnJhsPtsAAAADAQAADwAAAGRycy9kb3ducmV2LnhtbEyPS0/DMBCE&#10;70j8B2srcUHULkgtTeNUiCo3hEQpj+M23jzUeB3Zbhv+Pe4Jjjszmvk2X4+2FyfyoXOsYTZVIIgr&#10;ZzpuNOzey7tHECEiG+wdk4YfCrAurq9yzIw78xudtrERqYRDhhraGIdMylC1ZDFM3UCcvNp5izGd&#10;vpHG4zmV217eKzWXFjtOCy0O9NxSddgerYZNmHnzevgqN0NZv3zX7vPh49ZqfTMZn1YgIo3xLwwX&#10;/IQORWLauyObIHoN6ZF4UUXy5ssliL2GhVIgi1z+Zy9+AQAA//8DAFBLAQItABQABgAIAAAAIQC2&#10;gziS/gAAAOEBAAATAAAAAAAAAAAAAAAAAAAAAABbQ29udGVudF9UeXBlc10ueG1sUEsBAi0AFAAG&#10;AAgAAAAhADj9If/WAAAAlAEAAAsAAAAAAAAAAAAAAAAALwEAAF9yZWxzLy5yZWxzUEsBAi0AFAAG&#10;AAgAAAAhAJDFVqLlAQAAQQQAAA4AAAAAAAAAAAAAAAAALgIAAGRycy9lMm9Eb2MueG1sUEsBAi0A&#10;FAAGAAgAAAAhAJyYbD7bAAAAAwEAAA8AAAAAAAAAAAAAAAAAPwQAAGRycy9kb3ducmV2LnhtbFBL&#10;BQYAAAAABAAEAPMAAABHBQAAAAA=&#10;" o:allowincell="f" filled="f" stroked="f" strokeweight="0">
              <v:textbox style="mso-fit-shape-to-text:t" inset="0,0,5.29mm,0">
                <w:txbxContent>
                  <w:p w14:paraId="341E6F30" w14:textId="77777777" w:rsidR="00DA3FAA" w:rsidRDefault="00B81B93">
                    <w:pPr>
                      <w:pStyle w:val="FrameContents"/>
                      <w:rPr>
                        <w:rFonts w:ascii="Calibri" w:eastAsia="Calibri" w:hAnsi="Calibri" w:cs="Calibri"/>
                        <w:color w:val="FF0000"/>
                        <w:sz w:val="20"/>
                        <w:szCs w:val="20"/>
                      </w:rPr>
                    </w:pPr>
                    <w:r>
                      <w:rPr>
                        <w:rFonts w:ascii="Calibri" w:eastAsia="Calibri" w:hAnsi="Calibri" w:cs="Calibri"/>
                        <w:color w:val="FF0000"/>
                        <w:sz w:val="20"/>
                        <w:szCs w:val="20"/>
                      </w:rPr>
                      <w:t>Company Use</w:t>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19E19" w14:textId="2C58EDBC" w:rsidR="00DA3FAA" w:rsidRDefault="007767B2">
    <w:pPr>
      <w:pStyle w:val="Kopfzeile"/>
    </w:pPr>
    <w:r>
      <w:rPr>
        <w:noProof/>
      </w:rPr>
      <mc:AlternateContent>
        <mc:Choice Requires="wps">
          <w:drawing>
            <wp:anchor distT="0" distB="0" distL="0" distR="0" simplePos="0" relativeHeight="251663872" behindDoc="0" locked="0" layoutInCell="1" allowOverlap="1" wp14:anchorId="6AA4FEC4" wp14:editId="44134363">
              <wp:simplePos x="752475" y="447675"/>
              <wp:positionH relativeFrom="page">
                <wp:align>right</wp:align>
              </wp:positionH>
              <wp:positionV relativeFrom="page">
                <wp:align>top</wp:align>
              </wp:positionV>
              <wp:extent cx="565150" cy="345440"/>
              <wp:effectExtent l="0" t="0" r="0" b="16510"/>
              <wp:wrapNone/>
              <wp:docPr id="544372838"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45440"/>
                      </a:xfrm>
                      <a:prstGeom prst="rect">
                        <a:avLst/>
                      </a:prstGeom>
                      <a:noFill/>
                      <a:ln>
                        <a:noFill/>
                      </a:ln>
                    </wps:spPr>
                    <wps:txbx>
                      <w:txbxContent>
                        <w:p w14:paraId="4CC12596" w14:textId="28CBD7B1" w:rsidR="007767B2" w:rsidRPr="007767B2" w:rsidRDefault="007767B2" w:rsidP="007767B2">
                          <w:pPr>
                            <w:rPr>
                              <w:rFonts w:ascii="Calibri" w:eastAsia="Calibri" w:hAnsi="Calibri" w:cs="Calibri"/>
                              <w:noProof/>
                              <w:color w:val="FF0000"/>
                              <w:sz w:val="20"/>
                              <w:szCs w:val="20"/>
                            </w:rPr>
                          </w:pPr>
                          <w:r w:rsidRPr="007767B2">
                            <w:rPr>
                              <w:rFonts w:ascii="Calibri" w:eastAsia="Calibri" w:hAnsi="Calibri" w:cs="Calibri"/>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A4FEC4" id="_x0000_t202" coordsize="21600,21600" o:spt="202" path="m,l,21600r21600,l21600,xe">
              <v:stroke joinstyle="miter"/>
              <v:path gradientshapeok="t" o:connecttype="rect"/>
            </v:shapetype>
            <v:shape id="Textfeld 3" o:spid="_x0000_s1028" type="#_x0000_t202" alt="Public" style="position:absolute;margin-left:-6.7pt;margin-top:0;width:44.5pt;height:27.2pt;z-index:25166387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QsAEwIAACEEAAAOAAAAZHJzL2Uyb0RvYy54bWysU01v2zAMvQ/YfxB0X+xkcbEZcYqsRYYB&#10;RVsgHXpWZCk2IIuCxMTOfv0oJU62bqdhF5kiaX6897S4HTrDDsqHFmzFp5OcM2Ul1K3dVfz7y/rD&#10;J84CClsLA1ZV/KgCv12+f7foXalm0ICplWdUxIaydxVvEF2ZZUE2qhNhAk5ZCmrwnUC6+l1We9FT&#10;9c5kszy/yXrwtfMgVQjkvT8F+TLV11pJfNI6KGSm4jQbptOncxvPbLkQ5c4L17TyPIb4hyk60Vpq&#10;eil1L1CwvW//KNW10kMAjRMJXQZat1KlHWibaf5mm00jnEq7EDjBXWAK/6+sfDxs3LNnOHyBgQiM&#10;gPQulIGccZ9B+y5+aVJGcYLweIFNDcgkOYubYlpQRFLo47yYzxOs2fVn5wN+VdCxaFTcEysJLHF4&#10;CEgNKXVMib0srFtjEjPG/uagxOjJrhNGC4ftwNq64rNx+i3UR1rKw4nv4OS6pdYPIuCz8EQwTUui&#10;xSc6tIG+4nC2OGvA//ibP+YT7hTlrCfBVNySojkz3yzxEbWVjOnnvMjp5tNtVszzeNuOSXbf3QFp&#10;cUrPwslkxmQ0o6k9dK+k6VXsRiFhJfWsOI7mHZ7kS29CqtUqJZGWnMAHu3Eylo6YRUBfhlfh3Rl1&#10;JLoeYZSUKN+Af8qNfwa32iNRkJiJ+J7QPMNOOkyEnd9MFPqv95R1fdnLnwAAAP//AwBQSwMEFAAG&#10;AAgAAAAhAPabUyvcAAAAAwEAAA8AAABkcnMvZG93bnJldi54bWxMj0FLw0AQhe+C/2EZwYvYjVpL&#10;GrMpIhTswYO1OXjbZKdJMDsbdrdp8u8dvejlweMN732TbybbixF96BwpuFskIJBqZzpqFBw+trcp&#10;iBA1Gd07QgUzBtgUlxe5zow70zuO+9gILqGQaQVtjEMmZahbtDos3IDE2dF5qyNb30jj9ZnLbS/v&#10;k2Qlre6IF1o94EuL9df+ZBWUk7952653r3P12Y1zsisf0mOp1PXV9PwEIuIU/47hB5/RoWCmyp3I&#10;BNEr4Efir3KWrtlVCh6XS5BFLv+zF98AAAD//wMAUEsBAi0AFAAGAAgAAAAhALaDOJL+AAAA4QEA&#10;ABMAAAAAAAAAAAAAAAAAAAAAAFtDb250ZW50X1R5cGVzXS54bWxQSwECLQAUAAYACAAAACEAOP0h&#10;/9YAAACUAQAACwAAAAAAAAAAAAAAAAAvAQAAX3JlbHMvLnJlbHNQSwECLQAUAAYACAAAACEAd6EL&#10;ABMCAAAhBAAADgAAAAAAAAAAAAAAAAAuAgAAZHJzL2Uyb0RvYy54bWxQSwECLQAUAAYACAAAACEA&#10;9ptTK9wAAAADAQAADwAAAAAAAAAAAAAAAABtBAAAZHJzL2Rvd25yZXYueG1sUEsFBgAAAAAEAAQA&#10;8wAAAHYFAAAAAA==&#10;" filled="f" stroked="f">
              <v:textbox style="mso-fit-shape-to-text:t" inset="0,15pt,20pt,0">
                <w:txbxContent>
                  <w:p w14:paraId="4CC12596" w14:textId="28CBD7B1" w:rsidR="007767B2" w:rsidRPr="007767B2" w:rsidRDefault="007767B2" w:rsidP="007767B2">
                    <w:pPr>
                      <w:rPr>
                        <w:rFonts w:ascii="Calibri" w:eastAsia="Calibri" w:hAnsi="Calibri" w:cs="Calibri"/>
                        <w:noProof/>
                        <w:color w:val="FF0000"/>
                        <w:sz w:val="20"/>
                        <w:szCs w:val="20"/>
                      </w:rPr>
                    </w:pPr>
                    <w:r w:rsidRPr="007767B2">
                      <w:rPr>
                        <w:rFonts w:ascii="Calibri" w:eastAsia="Calibri" w:hAnsi="Calibri" w:cs="Calibri"/>
                        <w:noProof/>
                        <w:color w:val="FF0000"/>
                        <w:sz w:val="20"/>
                        <w:szCs w:val="20"/>
                      </w:rPr>
                      <w:t>Public</w:t>
                    </w:r>
                  </w:p>
                </w:txbxContent>
              </v:textbox>
              <w10:wrap anchorx="page" anchory="page"/>
            </v:shape>
          </w:pict>
        </mc:Fallback>
      </mc:AlternateContent>
    </w:r>
    <w:r w:rsidR="001F16BA">
      <w:rPr>
        <w:noProof/>
      </w:rPr>
      <w:drawing>
        <wp:anchor distT="0" distB="0" distL="0" distR="0" simplePos="0" relativeHeight="251654656" behindDoc="1" locked="0" layoutInCell="1" allowOverlap="1" wp14:anchorId="1C212BE9" wp14:editId="3F9E5A0B">
          <wp:simplePos x="0" y="0"/>
          <wp:positionH relativeFrom="column">
            <wp:posOffset>-756285</wp:posOffset>
          </wp:positionH>
          <wp:positionV relativeFrom="paragraph">
            <wp:posOffset>-450215</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2" descr="VorlagePressemitteilung"/>
                  <pic:cNvPicPr>
                    <a:picLocks noChangeAspect="1" noChangeArrowheads="1"/>
                  </pic:cNvPicPr>
                </pic:nvPicPr>
                <pic:blipFill>
                  <a:blip r:embed="rId1"/>
                  <a:stretch>
                    <a:fillRect/>
                  </a:stretch>
                </pic:blipFill>
                <pic:spPr bwMode="auto">
                  <a:xfrm>
                    <a:off x="0" y="0"/>
                    <a:ext cx="7559675" cy="106934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D78E3" w14:textId="2C934701" w:rsidR="00DA3FAA" w:rsidRDefault="007767B2">
    <w:pPr>
      <w:pStyle w:val="Kopfzeile"/>
    </w:pPr>
    <w:r>
      <w:rPr>
        <w:noProof/>
      </w:rPr>
      <mc:AlternateContent>
        <mc:Choice Requires="wps">
          <w:drawing>
            <wp:anchor distT="0" distB="0" distL="0" distR="0" simplePos="0" relativeHeight="251661824" behindDoc="0" locked="0" layoutInCell="1" allowOverlap="1" wp14:anchorId="2917ABBC" wp14:editId="2F4A5F49">
              <wp:simplePos x="635" y="635"/>
              <wp:positionH relativeFrom="page">
                <wp:align>right</wp:align>
              </wp:positionH>
              <wp:positionV relativeFrom="page">
                <wp:align>top</wp:align>
              </wp:positionV>
              <wp:extent cx="565150" cy="345440"/>
              <wp:effectExtent l="0" t="0" r="0" b="16510"/>
              <wp:wrapNone/>
              <wp:docPr id="202851526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45440"/>
                      </a:xfrm>
                      <a:prstGeom prst="rect">
                        <a:avLst/>
                      </a:prstGeom>
                      <a:noFill/>
                      <a:ln>
                        <a:noFill/>
                      </a:ln>
                    </wps:spPr>
                    <wps:txbx>
                      <w:txbxContent>
                        <w:p w14:paraId="5ECEC29F" w14:textId="3D0D3E74" w:rsidR="007767B2" w:rsidRPr="007767B2" w:rsidRDefault="007767B2" w:rsidP="007767B2">
                          <w:pPr>
                            <w:rPr>
                              <w:rFonts w:ascii="Calibri" w:eastAsia="Calibri" w:hAnsi="Calibri" w:cs="Calibri"/>
                              <w:noProof/>
                              <w:color w:val="FF0000"/>
                              <w:sz w:val="20"/>
                              <w:szCs w:val="20"/>
                            </w:rPr>
                          </w:pPr>
                          <w:r w:rsidRPr="007767B2">
                            <w:rPr>
                              <w:rFonts w:ascii="Calibri" w:eastAsia="Calibri" w:hAnsi="Calibri" w:cs="Calibri"/>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917ABBC" id="_x0000_t202" coordsize="21600,21600" o:spt="202" path="m,l,21600r21600,l21600,xe">
              <v:stroke joinstyle="miter"/>
              <v:path gradientshapeok="t" o:connecttype="rect"/>
            </v:shapetype>
            <v:shape id="Textfeld 1" o:spid="_x0000_s1029" type="#_x0000_t202" alt="Public" style="position:absolute;margin-left:-6.7pt;margin-top:0;width:44.5pt;height:27.2pt;z-index:25166182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qIEgIAACEEAAAOAAAAZHJzL2Uyb0RvYy54bWysU01v2zAMvQ/YfxB0X+xkcbEZcYqsRYYB&#10;RVsgHXpWZCk2IIuCxMTOfv0oJU62bqdhF5kiaX6897S4HTrDDsqHFmzFp5OcM2Ul1K3dVfz7y/rD&#10;J84CClsLA1ZV/KgCv12+f7foXalm0ICplWdUxIaydxVvEF2ZZUE2qhNhAk5ZCmrwnUC6+l1We9FT&#10;9c5kszy/yXrwtfMgVQjkvT8F+TLV11pJfNI6KGSm4jQbptOncxvPbLkQ5c4L17TyPIb4hyk60Vpq&#10;eil1L1CwvW//KNW10kMAjRMJXQZat1KlHWibaf5mm00jnEq7EDjBXWAK/6+sfDxs3LNnOHyBgQiM&#10;gPQulIGccZ9B+y5+aVJGcYLweIFNDcgkOYubYlpQRFLo47yYzxOs2fVn5wN+VdCxaFTcEysJLHF4&#10;CEgNKXVMib0srFtjEjPG/uagxOjJrhNGC4ftwNqamo/Tb6E+0lIeTnwHJ9cttX4QAZ+FJ4JpWhIt&#10;PtGhDfQVh7PFWQP+x9/8MZ9wpyhnPQmm4pYUzZn5ZomPqK1kTD/nRU43n26zYp7H23ZMsvvuDkiL&#10;U3oWTiYzJqMZTe2heyVNr2I3CgkrqWfFcTTv8CRfehNSrVYpibTkBD7YjZOxdMQsAvoyvArvzqgj&#10;0fUIo6RE+Qb8U278M7jVHomCxEzE94TmGXbSYSLs/Gai0H+9p6zry17+BAAA//8DAFBLAwQUAAYA&#10;CAAAACEA9ptTK9wAAAADAQAADwAAAGRycy9kb3ducmV2LnhtbEyPQUvDQBCF74L/YRnBi9iNWksa&#10;sykiFOzBg7U5eNtkp0kwOxt2t2ny7x296OXB4w3vfZNvJtuLEX3oHCm4WyQgkGpnOmoUHD62tymI&#10;EDUZ3TtCBTMG2BSXF7nOjDvTO4772AguoZBpBW2MQyZlqFu0OizcgMTZ0XmrI1vfSOP1mcttL++T&#10;ZCWt7ogXWj3gS4v11/5kFZSTv3nbrnevc/XZjXOyKx/SY6nU9dX0/AQi4hT/juEHn9GhYKbKncgE&#10;0SvgR+Kvcpau2VUKHpdLkEUu/7MX3wAAAP//AwBQSwECLQAUAAYACAAAACEAtoM4kv4AAADhAQAA&#10;EwAAAAAAAAAAAAAAAAAAAAAAW0NvbnRlbnRfVHlwZXNdLnhtbFBLAQItABQABgAIAAAAIQA4/SH/&#10;1gAAAJQBAAALAAAAAAAAAAAAAAAAAC8BAABfcmVscy8ucmVsc1BLAQItABQABgAIAAAAIQCHLoqI&#10;EgIAACEEAAAOAAAAAAAAAAAAAAAAAC4CAABkcnMvZTJvRG9jLnhtbFBLAQItABQABgAIAAAAIQD2&#10;m1Mr3AAAAAMBAAAPAAAAAAAAAAAAAAAAAGwEAABkcnMvZG93bnJldi54bWxQSwUGAAAAAAQABADz&#10;AAAAdQUAAAAA&#10;" filled="f" stroked="f">
              <v:textbox style="mso-fit-shape-to-text:t" inset="0,15pt,20pt,0">
                <w:txbxContent>
                  <w:p w14:paraId="5ECEC29F" w14:textId="3D0D3E74" w:rsidR="007767B2" w:rsidRPr="007767B2" w:rsidRDefault="007767B2" w:rsidP="007767B2">
                    <w:pPr>
                      <w:rPr>
                        <w:rFonts w:ascii="Calibri" w:eastAsia="Calibri" w:hAnsi="Calibri" w:cs="Calibri"/>
                        <w:noProof/>
                        <w:color w:val="FF0000"/>
                        <w:sz w:val="20"/>
                        <w:szCs w:val="20"/>
                      </w:rPr>
                    </w:pPr>
                    <w:r w:rsidRPr="007767B2">
                      <w:rPr>
                        <w:rFonts w:ascii="Calibri" w:eastAsia="Calibri" w:hAnsi="Calibri" w:cs="Calibri"/>
                        <w:noProof/>
                        <w:color w:val="FF0000"/>
                        <w:sz w:val="20"/>
                        <w:szCs w:val="20"/>
                      </w:rPr>
                      <w:t>Public</w:t>
                    </w:r>
                  </w:p>
                </w:txbxContent>
              </v:textbox>
              <w10:wrap anchorx="page" anchory="page"/>
            </v:shape>
          </w:pict>
        </mc:Fallback>
      </mc:AlternateContent>
    </w:r>
    <w:r w:rsidR="001F16BA">
      <w:rPr>
        <w:noProof/>
      </w:rPr>
      <w:drawing>
        <wp:anchor distT="0" distB="0" distL="0" distR="0" simplePos="0" relativeHeight="251655680" behindDoc="1" locked="0" layoutInCell="1" allowOverlap="1" wp14:anchorId="0C003098" wp14:editId="7E54F75B">
          <wp:simplePos x="0" y="0"/>
          <wp:positionH relativeFrom="column">
            <wp:posOffset>-756285</wp:posOffset>
          </wp:positionH>
          <wp:positionV relativeFrom="paragraph">
            <wp:posOffset>-450215</wp:posOffset>
          </wp:positionV>
          <wp:extent cx="7559675" cy="10693400"/>
          <wp:effectExtent l="0" t="0" r="0" b="0"/>
          <wp:wrapNone/>
          <wp:docPr id="6"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2" descr="VorlagePressemitteilung"/>
                  <pic:cNvPicPr>
                    <a:picLocks noChangeAspect="1" noChangeArrowheads="1"/>
                  </pic:cNvPicPr>
                </pic:nvPicPr>
                <pic:blipFill>
                  <a:blip r:embed="rId1"/>
                  <a:stretch>
                    <a:fillRect/>
                  </a:stretch>
                </pic:blipFill>
                <pic:spPr bwMode="auto">
                  <a:xfrm>
                    <a:off x="0" y="0"/>
                    <a:ext cx="7559675" cy="10693400"/>
                  </a:xfrm>
                  <a:prstGeom prst="rect">
                    <a:avLst/>
                  </a:prstGeom>
                </pic:spPr>
              </pic:pic>
            </a:graphicData>
          </a:graphic>
        </wp:anchor>
      </w:drawing>
    </w:r>
    <w:r w:rsidR="001F16BA">
      <w:rPr>
        <w:noProof/>
      </w:rPr>
      <mc:AlternateContent>
        <mc:Choice Requires="wps">
          <w:drawing>
            <wp:anchor distT="0" distB="33655" distL="0" distR="0" simplePos="0" relativeHeight="251660800" behindDoc="0" locked="0" layoutInCell="0" allowOverlap="1" wp14:anchorId="1CA24A7B" wp14:editId="1910243B">
              <wp:simplePos x="0" y="0"/>
              <wp:positionH relativeFrom="rightMargin">
                <wp:align>right</wp:align>
              </wp:positionH>
              <wp:positionV relativeFrom="paragraph">
                <wp:posOffset>635</wp:posOffset>
              </wp:positionV>
              <wp:extent cx="443865" cy="463550"/>
              <wp:effectExtent l="0" t="0" r="0" b="16510"/>
              <wp:wrapSquare wrapText="bothSides"/>
              <wp:docPr id="7" name="Textfeld 14" descr="Company Use"/>
              <wp:cNvGraphicFramePr/>
              <a:graphic xmlns:a="http://schemas.openxmlformats.org/drawingml/2006/main">
                <a:graphicData uri="http://schemas.microsoft.com/office/word/2010/wordprocessingShape">
                  <wps:wsp>
                    <wps:cNvSpPr/>
                    <wps:spPr>
                      <a:xfrm>
                        <a:off x="0" y="0"/>
                        <a:ext cx="443880" cy="463680"/>
                      </a:xfrm>
                      <a:prstGeom prst="rect">
                        <a:avLst/>
                      </a:prstGeom>
                      <a:noFill/>
                      <a:ln w="0">
                        <a:noFill/>
                      </a:ln>
                    </wps:spPr>
                    <wps:style>
                      <a:lnRef idx="0">
                        <a:scrgbClr r="0" g="0" b="0"/>
                      </a:lnRef>
                      <a:fillRef idx="0">
                        <a:scrgbClr r="0" g="0" b="0"/>
                      </a:fillRef>
                      <a:effectRef idx="0">
                        <a:scrgbClr r="0" g="0" b="0"/>
                      </a:effectRef>
                      <a:fontRef idx="minor"/>
                    </wps:style>
                    <wps:txbx>
                      <w:txbxContent>
                        <w:p w14:paraId="7D3E46DB" w14:textId="77777777" w:rsidR="00DA3FAA" w:rsidRDefault="00B81B93">
                          <w:pPr>
                            <w:pStyle w:val="FrameContents"/>
                            <w:rPr>
                              <w:rFonts w:ascii="Calibri" w:eastAsia="Calibri" w:hAnsi="Calibri" w:cs="Calibri"/>
                              <w:color w:val="FF0000"/>
                              <w:sz w:val="20"/>
                              <w:szCs w:val="20"/>
                            </w:rPr>
                          </w:pPr>
                          <w:r>
                            <w:rPr>
                              <w:rFonts w:ascii="Calibri" w:eastAsia="Calibri" w:hAnsi="Calibri" w:cs="Calibri"/>
                              <w:color w:val="FF0000"/>
                              <w:sz w:val="20"/>
                              <w:szCs w:val="20"/>
                            </w:rPr>
                            <w:t>Company Use</w:t>
                          </w:r>
                        </w:p>
                      </w:txbxContent>
                    </wps:txbx>
                    <wps:bodyPr lIns="0" tIns="0" rIns="190440" bIns="0" anchor="t">
                      <a:prstTxWarp prst="textNoShape">
                        <a:avLst/>
                      </a:prstTxWarp>
                      <a:spAutoFit/>
                    </wps:bodyPr>
                  </wps:wsp>
                </a:graphicData>
              </a:graphic>
            </wp:anchor>
          </w:drawing>
        </mc:Choice>
        <mc:Fallback>
          <w:pict>
            <v:rect w14:anchorId="1CA24A7B" id="Textfeld 14" o:spid="_x0000_s1030" alt="Company Use" style="position:absolute;margin-left:-16.25pt;margin-top:.05pt;width:34.95pt;height:36.5pt;z-index:251660800;visibility:visible;mso-wrap-style:square;mso-wrap-distance-left:0;mso-wrap-distance-top:0;mso-wrap-distance-right:0;mso-wrap-distance-bottom:2.65pt;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XdS5gEAAEEEAAAOAAAAZHJzL2Uyb0RvYy54bWysU01v2zAMvQ/YfxB0X+y0RpAZcYphRYcB&#10;Q1esHXZWZCkWoC9Qauz8+1HyR7ru1GEXmabIR/I9anczGE1OAoJytqHrVUmJsNy1yh4b+vPp7sOW&#10;khCZbZl2VjT0LAK92b9/t+t9La5c53QrgCCIDXXvG9rF6OuiCLwThoWV88LipXRgWMRfOBYtsB7R&#10;jS6uynJT9A5aD46LENB7O17SfcaXUvD4XcogItENxd5iPiGfh3QW+x2rj8B8p/jUBvuHLgxTFosu&#10;ULcsMvIM6i8oozi44GRccWcKJ6XiIs+A06zLV9M8dsyLPAuSE/xCU/h/sPz+9OgfAGnofagDmmmK&#10;QYJJX+yPDJms80KWGCLh6Kyq6+0WKeV4VW2uN2gjSnFJ9hDiF+EMSUZDAbXIFLHTtxDH0Dkk1bLu&#10;Tmmd9dCW9KneH25E1hYLXPrMVjxrkeK0/SEkUW1uNzkCh+PhswYyqo3riM3OmmcwTEiBEsu+MXdK&#10;SdkiL9kb85ekXN/ZuOQbZR1kIl9Ml8w4HAYcD7lOt8lzcO35AYj+anEf0m7PBmRj/bGsqjTy7GaW&#10;dw7JGFVI1D8Nvxj4SZ+Iwt67eeVY/UqmMTYT6z89RxQra3hpZJIG9zRvwfSm0kN4+Z+jLi9//xsA&#10;AP//AwBQSwMEFAAGAAgAAAAhAA5VJ0bbAAAAAwEAAA8AAABkcnMvZG93bnJldi54bWxMj0tvwjAQ&#10;hO+V+A/WIvVSFSdFoiWNgxAot6pS6fO4xJuHiNeRbSD99zUnetyZ0cy3+Wo0vTiR851lBeksAUFc&#10;Wd1xo+Djvbx/AuEDssbeMin4JQ+rYnKTY6btmd/otAuNiCXsM1TQhjBkUvqqJYN+Zgfi6NXWGQzx&#10;dI3UDs+x3PTyIUkW0mDHcaHFgTYtVYfd0SjY+tTp18N3uR3K+uWntl/zzzuj1O10XD+DCDSGaxgu&#10;+BEdisi0t0fWXvQK4iPhooroLZZLEHsFj/MUZJHL/+zFHwAAAP//AwBQSwECLQAUAAYACAAAACEA&#10;toM4kv4AAADhAQAAEwAAAAAAAAAAAAAAAAAAAAAAW0NvbnRlbnRfVHlwZXNdLnhtbFBLAQItABQA&#10;BgAIAAAAIQA4/SH/1gAAAJQBAAALAAAAAAAAAAAAAAAAAC8BAABfcmVscy8ucmVsc1BLAQItABQA&#10;BgAIAAAAIQBmzXdS5gEAAEEEAAAOAAAAAAAAAAAAAAAAAC4CAABkcnMvZTJvRG9jLnhtbFBLAQIt&#10;ABQABgAIAAAAIQAOVSdG2wAAAAMBAAAPAAAAAAAAAAAAAAAAAEAEAABkcnMvZG93bnJldi54bWxQ&#10;SwUGAAAAAAQABADzAAAASAUAAAAA&#10;" o:allowincell="f" filled="f" stroked="f" strokeweight="0">
              <v:textbox style="mso-fit-shape-to-text:t" inset="0,0,5.29mm,0">
                <w:txbxContent>
                  <w:p w14:paraId="7D3E46DB" w14:textId="77777777" w:rsidR="00DA3FAA" w:rsidRDefault="00B81B93">
                    <w:pPr>
                      <w:pStyle w:val="FrameContents"/>
                      <w:rPr>
                        <w:rFonts w:ascii="Calibri" w:eastAsia="Calibri" w:hAnsi="Calibri" w:cs="Calibri"/>
                        <w:color w:val="FF0000"/>
                        <w:sz w:val="20"/>
                        <w:szCs w:val="20"/>
                      </w:rPr>
                    </w:pPr>
                    <w:r>
                      <w:rPr>
                        <w:rFonts w:ascii="Calibri" w:eastAsia="Calibri" w:hAnsi="Calibri" w:cs="Calibri"/>
                        <w:color w:val="FF0000"/>
                        <w:sz w:val="20"/>
                        <w:szCs w:val="20"/>
                      </w:rPr>
                      <w:t>Company Use</w:t>
                    </w:r>
                  </w:p>
                </w:txbxContent>
              </v:textbox>
              <w10:wrap type="square"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496F"/>
    <w:multiLevelType w:val="multilevel"/>
    <w:tmpl w:val="F99C9F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809572A"/>
    <w:multiLevelType w:val="multilevel"/>
    <w:tmpl w:val="78F6E3C6"/>
    <w:lvl w:ilvl="0">
      <w:start w:val="1"/>
      <w:numFmt w:val="bullet"/>
      <w:pStyle w:val="Bulletpoint1"/>
      <w:lvlText w:val="•"/>
      <w:lvlJc w:val="left"/>
      <w:pPr>
        <w:tabs>
          <w:tab w:val="num" w:pos="284"/>
        </w:tabs>
        <w:ind w:left="284" w:hanging="284"/>
      </w:pPr>
      <w:rPr>
        <w:rFonts w:ascii="Symbol" w:hAnsi="Symbol" w:cs="Symbol" w:hint="default"/>
        <w:color w:val="auto"/>
        <w:sz w:val="22"/>
      </w:rPr>
    </w:lvl>
    <w:lvl w:ilvl="1">
      <w:start w:val="1"/>
      <w:numFmt w:val="bullet"/>
      <w:pStyle w:val="Bulletpoint2"/>
      <w:lvlText w:val="◦"/>
      <w:lvlJc w:val="left"/>
      <w:pPr>
        <w:tabs>
          <w:tab w:val="num" w:pos="567"/>
        </w:tabs>
        <w:ind w:left="567" w:hanging="283"/>
      </w:pPr>
      <w:rPr>
        <w:rFonts w:ascii="Symbol" w:hAnsi="Symbol" w:cs="Symbol" w:hint="default"/>
        <w:color w:val="auto"/>
        <w:sz w:val="22"/>
      </w:rPr>
    </w:lvl>
    <w:lvl w:ilvl="2">
      <w:start w:val="1"/>
      <w:numFmt w:val="bullet"/>
      <w:pStyle w:val="Bulletpoint3"/>
      <w:lvlText w:val="-"/>
      <w:lvlJc w:val="left"/>
      <w:pPr>
        <w:tabs>
          <w:tab w:val="num" w:pos="794"/>
        </w:tabs>
        <w:ind w:left="794" w:hanging="227"/>
      </w:pPr>
      <w:rPr>
        <w:rFonts w:ascii="Verdana" w:hAnsi="Verdana" w:cs="Verdana" w:hint="default"/>
        <w:color w:val="auto"/>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2CF3AB0"/>
    <w:multiLevelType w:val="multilevel"/>
    <w:tmpl w:val="5F640C98"/>
    <w:lvl w:ilvl="0">
      <w:start w:val="1"/>
      <w:numFmt w:val="decimal"/>
      <w:pStyle w:val="Nummerrierung"/>
      <w:lvlText w:val="%1. "/>
      <w:lvlJc w:val="left"/>
      <w:pPr>
        <w:tabs>
          <w:tab w:val="num" w:pos="284"/>
        </w:tabs>
        <w:ind w:left="284" w:hanging="284"/>
      </w:pPr>
      <w:rPr>
        <w:rFonts w:ascii="Verdana" w:hAnsi="Verdana"/>
        <w:sz w:val="16"/>
      </w:rPr>
    </w:lvl>
    <w:lvl w:ilvl="1">
      <w:start w:val="1"/>
      <w:numFmt w:val="none"/>
      <w:suff w:val="nothing"/>
      <w:lvlText w:val="%1."/>
      <w:lvlJc w:val="left"/>
      <w:pPr>
        <w:tabs>
          <w:tab w:val="num" w:pos="0"/>
        </w:tabs>
        <w:ind w:left="284" w:hanging="284"/>
      </w:pPr>
      <w:rPr>
        <w:rFonts w:ascii="Verdana" w:hAnsi="Verdana"/>
        <w:b/>
        <w:i w:val="0"/>
        <w:sz w:val="16"/>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C73E4D"/>
    <w:multiLevelType w:val="multilevel"/>
    <w:tmpl w:val="B67AE0B8"/>
    <w:lvl w:ilvl="0">
      <w:start w:val="1"/>
      <w:numFmt w:val="bullet"/>
      <w:pStyle w:val="Themen"/>
      <w:lvlText w:val="•"/>
      <w:lvlJc w:val="left"/>
      <w:pPr>
        <w:tabs>
          <w:tab w:val="num" w:pos="284"/>
        </w:tabs>
        <w:ind w:left="284" w:hanging="284"/>
      </w:pPr>
      <w:rPr>
        <w:rFonts w:ascii="Symbol" w:hAnsi="Symbol" w:cs="Symbol" w:hint="default"/>
        <w:color w:val="aut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16042466">
    <w:abstractNumId w:val="3"/>
  </w:num>
  <w:num w:numId="2" w16cid:durableId="1089958495">
    <w:abstractNumId w:val="1"/>
  </w:num>
  <w:num w:numId="3" w16cid:durableId="583495501">
    <w:abstractNumId w:val="2"/>
  </w:num>
  <w:num w:numId="4" w16cid:durableId="474838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FAA"/>
    <w:rsid w:val="000142A0"/>
    <w:rsid w:val="0002335A"/>
    <w:rsid w:val="000416C7"/>
    <w:rsid w:val="00050058"/>
    <w:rsid w:val="00052888"/>
    <w:rsid w:val="000A0B33"/>
    <w:rsid w:val="000D09D0"/>
    <w:rsid w:val="000D2603"/>
    <w:rsid w:val="00113B81"/>
    <w:rsid w:val="00124118"/>
    <w:rsid w:val="001352CF"/>
    <w:rsid w:val="00146222"/>
    <w:rsid w:val="00173C68"/>
    <w:rsid w:val="00190B84"/>
    <w:rsid w:val="001A78C1"/>
    <w:rsid w:val="001C1994"/>
    <w:rsid w:val="001D61DE"/>
    <w:rsid w:val="001F16BA"/>
    <w:rsid w:val="001F16E8"/>
    <w:rsid w:val="00237185"/>
    <w:rsid w:val="002A2ACF"/>
    <w:rsid w:val="002C6104"/>
    <w:rsid w:val="002E3C03"/>
    <w:rsid w:val="002F0474"/>
    <w:rsid w:val="00302029"/>
    <w:rsid w:val="003057A3"/>
    <w:rsid w:val="00310001"/>
    <w:rsid w:val="00312B83"/>
    <w:rsid w:val="00331D6A"/>
    <w:rsid w:val="00335EC3"/>
    <w:rsid w:val="003366D0"/>
    <w:rsid w:val="0035782E"/>
    <w:rsid w:val="00397FDB"/>
    <w:rsid w:val="003A1D72"/>
    <w:rsid w:val="003D4B98"/>
    <w:rsid w:val="003E4FBD"/>
    <w:rsid w:val="003F6080"/>
    <w:rsid w:val="00403276"/>
    <w:rsid w:val="00411FB8"/>
    <w:rsid w:val="004365EC"/>
    <w:rsid w:val="00460502"/>
    <w:rsid w:val="004B6A18"/>
    <w:rsid w:val="004E0A27"/>
    <w:rsid w:val="004F011B"/>
    <w:rsid w:val="005057C1"/>
    <w:rsid w:val="00510E0F"/>
    <w:rsid w:val="005407FD"/>
    <w:rsid w:val="00541ECD"/>
    <w:rsid w:val="00543016"/>
    <w:rsid w:val="00556A1A"/>
    <w:rsid w:val="0055757A"/>
    <w:rsid w:val="0055758D"/>
    <w:rsid w:val="0056131C"/>
    <w:rsid w:val="005619DD"/>
    <w:rsid w:val="005648E8"/>
    <w:rsid w:val="00572512"/>
    <w:rsid w:val="00583B8D"/>
    <w:rsid w:val="00585518"/>
    <w:rsid w:val="005876D9"/>
    <w:rsid w:val="005B4FBF"/>
    <w:rsid w:val="00652FF2"/>
    <w:rsid w:val="00673DAB"/>
    <w:rsid w:val="006C79BF"/>
    <w:rsid w:val="0073167A"/>
    <w:rsid w:val="00731DA8"/>
    <w:rsid w:val="00747292"/>
    <w:rsid w:val="00760291"/>
    <w:rsid w:val="007642F9"/>
    <w:rsid w:val="00766DF9"/>
    <w:rsid w:val="007767B2"/>
    <w:rsid w:val="007E0FC3"/>
    <w:rsid w:val="00816860"/>
    <w:rsid w:val="0083071A"/>
    <w:rsid w:val="008470C1"/>
    <w:rsid w:val="00864E73"/>
    <w:rsid w:val="008757A6"/>
    <w:rsid w:val="00897BEC"/>
    <w:rsid w:val="008A655B"/>
    <w:rsid w:val="008B493F"/>
    <w:rsid w:val="008D039D"/>
    <w:rsid w:val="008E45C4"/>
    <w:rsid w:val="00921B5B"/>
    <w:rsid w:val="00926CEE"/>
    <w:rsid w:val="00932103"/>
    <w:rsid w:val="009468C1"/>
    <w:rsid w:val="009550AD"/>
    <w:rsid w:val="0098561C"/>
    <w:rsid w:val="00994FF4"/>
    <w:rsid w:val="009F109D"/>
    <w:rsid w:val="00A20BD1"/>
    <w:rsid w:val="00A22037"/>
    <w:rsid w:val="00A40540"/>
    <w:rsid w:val="00A425B8"/>
    <w:rsid w:val="00A602D7"/>
    <w:rsid w:val="00A7652F"/>
    <w:rsid w:val="00A90C81"/>
    <w:rsid w:val="00A92A88"/>
    <w:rsid w:val="00AA0E14"/>
    <w:rsid w:val="00AB5DF6"/>
    <w:rsid w:val="00AD76CB"/>
    <w:rsid w:val="00B045EA"/>
    <w:rsid w:val="00B10D82"/>
    <w:rsid w:val="00B37285"/>
    <w:rsid w:val="00B4650C"/>
    <w:rsid w:val="00B54BD1"/>
    <w:rsid w:val="00B81B93"/>
    <w:rsid w:val="00B8417F"/>
    <w:rsid w:val="00B93444"/>
    <w:rsid w:val="00BA4567"/>
    <w:rsid w:val="00BB73DB"/>
    <w:rsid w:val="00BD0134"/>
    <w:rsid w:val="00BE1C6D"/>
    <w:rsid w:val="00BF4CFF"/>
    <w:rsid w:val="00C10481"/>
    <w:rsid w:val="00C10612"/>
    <w:rsid w:val="00C2235A"/>
    <w:rsid w:val="00C23752"/>
    <w:rsid w:val="00C33506"/>
    <w:rsid w:val="00C43F8E"/>
    <w:rsid w:val="00C90A56"/>
    <w:rsid w:val="00CC4C75"/>
    <w:rsid w:val="00CC7957"/>
    <w:rsid w:val="00CE217B"/>
    <w:rsid w:val="00CE3142"/>
    <w:rsid w:val="00D11E5D"/>
    <w:rsid w:val="00D276F9"/>
    <w:rsid w:val="00D42286"/>
    <w:rsid w:val="00D81EF9"/>
    <w:rsid w:val="00DA3FAA"/>
    <w:rsid w:val="00DB757E"/>
    <w:rsid w:val="00DC7C6A"/>
    <w:rsid w:val="00DD480C"/>
    <w:rsid w:val="00DE4B39"/>
    <w:rsid w:val="00E35E0F"/>
    <w:rsid w:val="00E37930"/>
    <w:rsid w:val="00E7613E"/>
    <w:rsid w:val="00E97F13"/>
    <w:rsid w:val="00EC6CE3"/>
    <w:rsid w:val="00F22929"/>
    <w:rsid w:val="00F30CC1"/>
    <w:rsid w:val="00F64721"/>
    <w:rsid w:val="00FE13D0"/>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F45F5"/>
  <w15:docId w15:val="{7D12B514-AEAD-714B-8BF1-9FEE73C5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qFormat/>
    <w:rsid w:val="00A171F4"/>
    <w:rPr>
      <w:rFonts w:eastAsia="MS Mincho" w:cs="Times New Roman"/>
      <w:b/>
      <w:sz w:val="40"/>
      <w:szCs w:val="32"/>
    </w:rPr>
  </w:style>
  <w:style w:type="character" w:customStyle="1" w:styleId="berschrift2Zchn">
    <w:name w:val="Überschrift 2 Zchn"/>
    <w:link w:val="berschrift2"/>
    <w:uiPriority w:val="9"/>
    <w:qFormat/>
    <w:rsid w:val="002E765F"/>
    <w:rPr>
      <w:rFonts w:ascii="Verdana" w:eastAsia="MS Mincho" w:hAnsi="Verdana" w:cs="Times New Roman"/>
      <w:b/>
      <w:sz w:val="22"/>
      <w:szCs w:val="26"/>
    </w:rPr>
  </w:style>
  <w:style w:type="character" w:customStyle="1" w:styleId="berschrift3Zchn">
    <w:name w:val="Überschrift 3 Zchn"/>
    <w:link w:val="berschrift3"/>
    <w:uiPriority w:val="9"/>
    <w:qFormat/>
    <w:rsid w:val="002E765F"/>
    <w:rPr>
      <w:rFonts w:ascii="Verdana" w:eastAsia="MS Mincho" w:hAnsi="Verdana" w:cs="Times New Roman"/>
      <w:b/>
      <w:sz w:val="20"/>
      <w:szCs w:val="24"/>
    </w:rPr>
  </w:style>
  <w:style w:type="character" w:customStyle="1" w:styleId="berschrift4Zchn">
    <w:name w:val="Überschrift 4 Zchn"/>
    <w:link w:val="berschrift4"/>
    <w:uiPriority w:val="9"/>
    <w:qFormat/>
    <w:rsid w:val="002E765F"/>
    <w:rPr>
      <w:rFonts w:ascii="Verdana" w:eastAsia="MS Mincho" w:hAnsi="Verdana" w:cs="Times New Roman"/>
      <w:iCs/>
      <w:sz w:val="18"/>
      <w:szCs w:val="20"/>
    </w:rPr>
  </w:style>
  <w:style w:type="character" w:customStyle="1" w:styleId="KopfzeileZchn">
    <w:name w:val="Kopfzeile Zchn"/>
    <w:basedOn w:val="Absatz-Standardschriftart"/>
    <w:link w:val="Kopfzeile"/>
    <w:uiPriority w:val="99"/>
    <w:qFormat/>
    <w:rsid w:val="00E55534"/>
  </w:style>
  <w:style w:type="character" w:customStyle="1" w:styleId="FuzeileZchn">
    <w:name w:val="Fußzeile Zchn"/>
    <w:link w:val="Fuzeile"/>
    <w:uiPriority w:val="99"/>
    <w:qFormat/>
    <w:rsid w:val="00642EB6"/>
    <w:rPr>
      <w:color w:val="41535D"/>
      <w:sz w:val="18"/>
    </w:rPr>
  </w:style>
  <w:style w:type="character" w:customStyle="1" w:styleId="SprechblasentextZchn">
    <w:name w:val="Sprechblasentext Zchn"/>
    <w:link w:val="Sprechblasentext"/>
    <w:uiPriority w:val="99"/>
    <w:semiHidden/>
    <w:qFormat/>
    <w:rsid w:val="00E55534"/>
    <w:rPr>
      <w:rFonts w:ascii="Tahoma" w:hAnsi="Tahoma" w:cs="Tahoma"/>
      <w:sz w:val="16"/>
      <w:szCs w:val="16"/>
    </w:rPr>
  </w:style>
  <w:style w:type="character" w:customStyle="1" w:styleId="TitelZchn">
    <w:name w:val="Titel Zchn"/>
    <w:link w:val="Titel"/>
    <w:qFormat/>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character" w:customStyle="1" w:styleId="UntertitelZchn">
    <w:name w:val="Untertitel Zchn"/>
    <w:link w:val="Untertitel"/>
    <w:qFormat/>
    <w:rsid w:val="00843B45"/>
    <w:rPr>
      <w:rFonts w:ascii="Verdana" w:eastAsia="MS Mincho" w:hAnsi="Verdana" w:cs="Times New Roman"/>
      <w:iCs/>
      <w:color w:val="5C666F"/>
      <w:sz w:val="32"/>
      <w:szCs w:val="24"/>
    </w:rPr>
  </w:style>
  <w:style w:type="character" w:styleId="Seitenzahl">
    <w:name w:val="page number"/>
    <w:semiHidden/>
    <w:unhideWhenUsed/>
    <w:qFormat/>
    <w:rsid w:val="007E20D0"/>
    <w:rPr>
      <w:rFonts w:ascii="Times New Roman" w:hAnsi="Times New Roman" w:cs="Times New Roman"/>
    </w:rPr>
  </w:style>
  <w:style w:type="character" w:customStyle="1" w:styleId="SchwacheHervorhebung1">
    <w:name w:val="Schwache Hervorhebung1"/>
    <w:uiPriority w:val="7"/>
    <w:qFormat/>
    <w:rsid w:val="006F7602"/>
    <w:rPr>
      <w:i/>
      <w:iCs/>
      <w:color w:val="auto"/>
    </w:r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qFormat/>
    <w:rsid w:val="00FF52AE"/>
    <w:rPr>
      <w:color w:val="808080"/>
    </w:rPr>
  </w:style>
  <w:style w:type="character" w:customStyle="1" w:styleId="NichtaufgelsteErwhnung1">
    <w:name w:val="Nicht aufgelöste Erwähnung1"/>
    <w:basedOn w:val="Absatz-Standardschriftart"/>
    <w:uiPriority w:val="99"/>
    <w:semiHidden/>
    <w:unhideWhenUsed/>
    <w:qFormat/>
    <w:rsid w:val="002D2EE5"/>
    <w:rPr>
      <w:color w:val="605E5C"/>
      <w:shd w:val="clear" w:color="auto" w:fill="E1DFDD"/>
    </w:rPr>
  </w:style>
  <w:style w:type="character" w:styleId="Kommentarzeichen">
    <w:name w:val="annotation reference"/>
    <w:basedOn w:val="Absatz-Standardschriftart"/>
    <w:uiPriority w:val="99"/>
    <w:semiHidden/>
    <w:unhideWhenUsed/>
    <w:qFormat/>
    <w:rsid w:val="00D37CF4"/>
    <w:rPr>
      <w:sz w:val="16"/>
      <w:szCs w:val="16"/>
    </w:rPr>
  </w:style>
  <w:style w:type="character" w:customStyle="1" w:styleId="KommentartextZchn">
    <w:name w:val="Kommentartext Zchn"/>
    <w:basedOn w:val="Absatz-Standardschriftart"/>
    <w:link w:val="Kommentartext"/>
    <w:uiPriority w:val="99"/>
    <w:qFormat/>
    <w:rsid w:val="00D37CF4"/>
    <w:rPr>
      <w:lang w:eastAsia="en-US"/>
    </w:rPr>
  </w:style>
  <w:style w:type="character" w:customStyle="1" w:styleId="KommentarthemaZchn">
    <w:name w:val="Kommentarthema Zchn"/>
    <w:basedOn w:val="KommentartextZchn"/>
    <w:link w:val="Kommentarthema"/>
    <w:uiPriority w:val="99"/>
    <w:semiHidden/>
    <w:qFormat/>
    <w:rsid w:val="00D37CF4"/>
    <w:rPr>
      <w:b/>
      <w:bCs/>
      <w:lang w:eastAsia="en-US"/>
    </w:rPr>
  </w:style>
  <w:style w:type="character" w:styleId="NichtaufgelsteErwhnung">
    <w:name w:val="Unresolved Mention"/>
    <w:basedOn w:val="Absatz-Standardschriftart"/>
    <w:uiPriority w:val="99"/>
    <w:semiHidden/>
    <w:unhideWhenUsed/>
    <w:qFormat/>
    <w:rsid w:val="006D2A07"/>
    <w:rPr>
      <w:color w:val="605E5C"/>
      <w:shd w:val="clear" w:color="auto" w:fill="E1DFDD"/>
    </w:rPr>
  </w:style>
  <w:style w:type="paragraph" w:customStyle="1" w:styleId="Heading">
    <w:name w:val="Heading"/>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dex">
    <w:name w:val="Index"/>
    <w:basedOn w:val="Standard"/>
    <w:qFormat/>
    <w:pPr>
      <w:suppressLineNumbers/>
    </w:pPr>
    <w:rPr>
      <w:rFonts w:cs="Arial"/>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E55534"/>
    <w:pPr>
      <w:tabs>
        <w:tab w:val="center" w:pos="4513"/>
        <w:tab w:val="right" w:pos="9026"/>
      </w:tabs>
    </w:pPr>
  </w:style>
  <w:style w:type="paragraph" w:styleId="Fuzeile">
    <w:name w:val="footer"/>
    <w:basedOn w:val="Standard"/>
    <w:link w:val="FuzeileZchn"/>
    <w:uiPriority w:val="99"/>
    <w:unhideWhenUsed/>
    <w:rsid w:val="00642EB6"/>
    <w:rPr>
      <w:color w:val="41535D"/>
      <w:sz w:val="18"/>
    </w:rPr>
  </w:style>
  <w:style w:type="paragraph" w:styleId="Sprechblasentext">
    <w:name w:val="Balloon Text"/>
    <w:basedOn w:val="Standard"/>
    <w:link w:val="SprechblasentextZchn"/>
    <w:uiPriority w:val="99"/>
    <w:semiHidden/>
    <w:unhideWhenUsed/>
    <w:qFormat/>
    <w:rsid w:val="00E55534"/>
    <w:rPr>
      <w:rFonts w:ascii="Tahoma" w:hAnsi="Tahoma" w:cs="Tahoma"/>
    </w:r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paragraph" w:styleId="Untertitel">
    <w:name w:val="Subtitle"/>
    <w:basedOn w:val="Standard"/>
    <w:link w:val="UntertitelZchn"/>
    <w:qFormat/>
    <w:rsid w:val="00843B45"/>
    <w:pPr>
      <w:spacing w:line="520" w:lineRule="atLeast"/>
    </w:pPr>
    <w:rPr>
      <w:rFonts w:eastAsia="MS Mincho"/>
      <w:iCs/>
      <w:color w:val="5C666F"/>
      <w:sz w:val="32"/>
      <w:szCs w:val="24"/>
    </w:rPr>
  </w:style>
  <w:style w:type="paragraph" w:customStyle="1" w:styleId="Themen">
    <w:name w:val="Themen"/>
    <w:basedOn w:val="Standard"/>
    <w:uiPriority w:val="10"/>
    <w:qFormat/>
    <w:rsid w:val="00403373"/>
    <w:pPr>
      <w:numPr>
        <w:numId w:val="1"/>
      </w:numPr>
      <w:spacing w:after="60" w:line="360" w:lineRule="exact"/>
    </w:pPr>
    <w:rPr>
      <w:b/>
      <w:sz w:val="24"/>
    </w:r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paragraph" w:customStyle="1" w:styleId="Text">
    <w:name w:val="Text"/>
    <w:basedOn w:val="Standard"/>
    <w:uiPriority w:val="5"/>
    <w:qFormat/>
    <w:rsid w:val="00A171F4"/>
    <w:pPr>
      <w:spacing w:line="280" w:lineRule="atLeast"/>
      <w:jc w:val="both"/>
    </w:pPr>
    <w:rPr>
      <w:sz w:val="22"/>
    </w:rPr>
  </w:style>
  <w:style w:type="paragraph" w:customStyle="1" w:styleId="Bulletpoint1">
    <w:name w:val="Bulletpoint 1"/>
    <w:basedOn w:val="Standard"/>
    <w:uiPriority w:val="5"/>
    <w:qFormat/>
    <w:rsid w:val="003E7853"/>
    <w:pPr>
      <w:numPr>
        <w:numId w:val="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
      </w:numPr>
      <w:spacing w:after="120" w:line="280" w:lineRule="atLeast"/>
      <w:contextualSpacing/>
    </w:pPr>
    <w:rPr>
      <w:sz w:val="22"/>
    </w:rPr>
  </w:style>
  <w:style w:type="paragraph" w:customStyle="1" w:styleId="Nummerrierung">
    <w:name w:val="Nummerrierung"/>
    <w:basedOn w:val="Standard"/>
    <w:uiPriority w:val="5"/>
    <w:qFormat/>
    <w:rsid w:val="008D770E"/>
    <w:pPr>
      <w:numPr>
        <w:numId w:val="3"/>
      </w:numPr>
      <w:spacing w:after="120"/>
    </w:pPr>
    <w:rPr>
      <w:sz w:val="18"/>
    </w:rPr>
  </w:style>
  <w:style w:type="paragraph" w:customStyle="1" w:styleId="NummerrierungFett">
    <w:name w:val="Nummerrierung Fett"/>
    <w:basedOn w:val="Nummerrierung"/>
    <w:uiPriority w:val="5"/>
    <w:qFormat/>
    <w:rsid w:val="00506409"/>
    <w:rPr>
      <w:b/>
    </w:rPr>
  </w:style>
  <w:style w:type="paragraph" w:customStyle="1" w:styleId="TextBlocksatz">
    <w:name w:val="Text Blocksatz"/>
    <w:basedOn w:val="Text"/>
    <w:uiPriority w:val="4"/>
    <w:qFormat/>
    <w:rsid w:val="00A171F4"/>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paragraph" w:customStyle="1" w:styleId="HeadlineFotos">
    <w:name w:val="Headline Fotos"/>
    <w:basedOn w:val="Standard"/>
    <w:next w:val="Text"/>
    <w:uiPriority w:val="10"/>
    <w:qFormat/>
    <w:rsid w:val="009D016F"/>
    <w:pPr>
      <w:pBdr>
        <w:bottom w:val="single" w:sz="4" w:space="1" w:color="000000"/>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paragraph" w:styleId="Kommentartext">
    <w:name w:val="annotation text"/>
    <w:basedOn w:val="Standard"/>
    <w:link w:val="KommentartextZchn"/>
    <w:uiPriority w:val="99"/>
    <w:unhideWhenUsed/>
    <w:qFormat/>
    <w:rsid w:val="00D37CF4"/>
    <w:rPr>
      <w:sz w:val="20"/>
      <w:szCs w:val="20"/>
    </w:rPr>
  </w:style>
  <w:style w:type="paragraph" w:styleId="Kommentarthema">
    <w:name w:val="annotation subject"/>
    <w:basedOn w:val="Kommentartext"/>
    <w:next w:val="Kommentartext"/>
    <w:link w:val="KommentarthemaZchn"/>
    <w:uiPriority w:val="99"/>
    <w:semiHidden/>
    <w:unhideWhenUsed/>
    <w:qFormat/>
    <w:rsid w:val="00D37CF4"/>
    <w:rPr>
      <w:b/>
      <w:bC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customStyle="1" w:styleId="FrameContents">
    <w:name w:val="Frame Contents"/>
    <w:basedOn w:val="Standard"/>
    <w:qFormat/>
  </w:style>
  <w:style w:type="numbering" w:customStyle="1" w:styleId="zzzThemen">
    <w:name w:val="zzz_Themen"/>
    <w:uiPriority w:val="99"/>
    <w:qFormat/>
    <w:rsid w:val="00403373"/>
  </w:style>
  <w:style w:type="numbering" w:customStyle="1" w:styleId="zzzHeadlines">
    <w:name w:val="zzz_Headlines"/>
    <w:uiPriority w:val="99"/>
    <w:qFormat/>
    <w:rsid w:val="00384A08"/>
  </w:style>
  <w:style w:type="numbering" w:customStyle="1" w:styleId="zzzBulletpoints">
    <w:name w:val="zzz_Bulletpoints"/>
    <w:uiPriority w:val="99"/>
    <w:qFormat/>
    <w:rsid w:val="005A4F04"/>
  </w:style>
  <w:style w:type="numbering" w:customStyle="1" w:styleId="zzzNummerierung">
    <w:name w:val="zzz_Nummerierung"/>
    <w:uiPriority w:val="99"/>
    <w:qFormat/>
    <w:rsid w:val="00506409"/>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afterLines="0" w:after="0"/>
      </w:pPr>
    </w:tblStyle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irtgen">
    <w:name w:val="Wirtgen"/>
    <w:basedOn w:val="NormaleTabelle"/>
    <w:uiPriority w:val="99"/>
    <w:rsid w:val="008D770E"/>
    <w:pPr>
      <w:spacing w:before="60" w:after="60" w:line="220" w:lineRule="atLeast"/>
    </w:pPr>
    <w:rPr>
      <w:sz w:val="18"/>
    </w:rPr>
    <w:tblPr>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afterLines="40" w:after="4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afterLines="0" w:after="0"/>
      </w:pPr>
    </w:tblStylePr>
  </w:style>
  <w:style w:type="paragraph" w:styleId="berarbeitung">
    <w:name w:val="Revision"/>
    <w:hidden/>
    <w:uiPriority w:val="71"/>
    <w:semiHidden/>
    <w:rsid w:val="00BA4567"/>
    <w:pPr>
      <w:suppressAutoHyphens w:val="0"/>
    </w:pPr>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02394">
      <w:bodyDiv w:val="1"/>
      <w:marLeft w:val="0"/>
      <w:marRight w:val="0"/>
      <w:marTop w:val="0"/>
      <w:marBottom w:val="0"/>
      <w:divBdr>
        <w:top w:val="none" w:sz="0" w:space="0" w:color="auto"/>
        <w:left w:val="none" w:sz="0" w:space="0" w:color="auto"/>
        <w:bottom w:val="none" w:sz="0" w:space="0" w:color="auto"/>
        <w:right w:val="none" w:sz="0" w:space="0" w:color="auto"/>
      </w:divBdr>
    </w:div>
    <w:div w:id="421099260">
      <w:bodyDiv w:val="1"/>
      <w:marLeft w:val="0"/>
      <w:marRight w:val="0"/>
      <w:marTop w:val="0"/>
      <w:marBottom w:val="0"/>
      <w:divBdr>
        <w:top w:val="none" w:sz="0" w:space="0" w:color="auto"/>
        <w:left w:val="none" w:sz="0" w:space="0" w:color="auto"/>
        <w:bottom w:val="none" w:sz="0" w:space="0" w:color="auto"/>
        <w:right w:val="none" w:sz="0" w:space="0" w:color="auto"/>
      </w:divBdr>
    </w:div>
    <w:div w:id="630552018">
      <w:bodyDiv w:val="1"/>
      <w:marLeft w:val="0"/>
      <w:marRight w:val="0"/>
      <w:marTop w:val="0"/>
      <w:marBottom w:val="0"/>
      <w:divBdr>
        <w:top w:val="none" w:sz="0" w:space="0" w:color="auto"/>
        <w:left w:val="none" w:sz="0" w:space="0" w:color="auto"/>
        <w:bottom w:val="none" w:sz="0" w:space="0" w:color="auto"/>
        <w:right w:val="none" w:sz="0" w:space="0" w:color="auto"/>
      </w:divBdr>
    </w:div>
    <w:div w:id="848376747">
      <w:bodyDiv w:val="1"/>
      <w:marLeft w:val="0"/>
      <w:marRight w:val="0"/>
      <w:marTop w:val="0"/>
      <w:marBottom w:val="0"/>
      <w:divBdr>
        <w:top w:val="none" w:sz="0" w:space="0" w:color="auto"/>
        <w:left w:val="none" w:sz="0" w:space="0" w:color="auto"/>
        <w:bottom w:val="none" w:sz="0" w:space="0" w:color="auto"/>
        <w:right w:val="none" w:sz="0" w:space="0" w:color="auto"/>
      </w:divBdr>
    </w:div>
    <w:div w:id="981806774">
      <w:bodyDiv w:val="1"/>
      <w:marLeft w:val="0"/>
      <w:marRight w:val="0"/>
      <w:marTop w:val="0"/>
      <w:marBottom w:val="0"/>
      <w:divBdr>
        <w:top w:val="none" w:sz="0" w:space="0" w:color="auto"/>
        <w:left w:val="none" w:sz="0" w:space="0" w:color="auto"/>
        <w:bottom w:val="none" w:sz="0" w:space="0" w:color="auto"/>
        <w:right w:val="none" w:sz="0" w:space="0" w:color="auto"/>
      </w:divBdr>
    </w:div>
    <w:div w:id="1017659105">
      <w:bodyDiv w:val="1"/>
      <w:marLeft w:val="0"/>
      <w:marRight w:val="0"/>
      <w:marTop w:val="0"/>
      <w:marBottom w:val="0"/>
      <w:divBdr>
        <w:top w:val="none" w:sz="0" w:space="0" w:color="auto"/>
        <w:left w:val="none" w:sz="0" w:space="0" w:color="auto"/>
        <w:bottom w:val="none" w:sz="0" w:space="0" w:color="auto"/>
        <w:right w:val="none" w:sz="0" w:space="0" w:color="auto"/>
      </w:divBdr>
    </w:div>
    <w:div w:id="1030957255">
      <w:bodyDiv w:val="1"/>
      <w:marLeft w:val="0"/>
      <w:marRight w:val="0"/>
      <w:marTop w:val="0"/>
      <w:marBottom w:val="0"/>
      <w:divBdr>
        <w:top w:val="none" w:sz="0" w:space="0" w:color="auto"/>
        <w:left w:val="none" w:sz="0" w:space="0" w:color="auto"/>
        <w:bottom w:val="none" w:sz="0" w:space="0" w:color="auto"/>
        <w:right w:val="none" w:sz="0" w:space="0" w:color="auto"/>
      </w:divBdr>
    </w:div>
    <w:div w:id="1770851397">
      <w:bodyDiv w:val="1"/>
      <w:marLeft w:val="0"/>
      <w:marRight w:val="0"/>
      <w:marTop w:val="0"/>
      <w:marBottom w:val="0"/>
      <w:divBdr>
        <w:top w:val="none" w:sz="0" w:space="0" w:color="auto"/>
        <w:left w:val="none" w:sz="0" w:space="0" w:color="auto"/>
        <w:bottom w:val="none" w:sz="0" w:space="0" w:color="auto"/>
        <w:right w:val="none" w:sz="0" w:space="0" w:color="auto"/>
      </w:divBdr>
    </w:div>
    <w:div w:id="1792438183">
      <w:bodyDiv w:val="1"/>
      <w:marLeft w:val="0"/>
      <w:marRight w:val="0"/>
      <w:marTop w:val="0"/>
      <w:marBottom w:val="0"/>
      <w:divBdr>
        <w:top w:val="none" w:sz="0" w:space="0" w:color="auto"/>
        <w:left w:val="none" w:sz="0" w:space="0" w:color="auto"/>
        <w:bottom w:val="none" w:sz="0" w:space="0" w:color="auto"/>
        <w:right w:val="none" w:sz="0" w:space="0" w:color="auto"/>
      </w:divBdr>
    </w:div>
    <w:div w:id="2120643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wirtgen-group.com/" TargetMode="External"/><Relationship Id="rId4" Type="http://schemas.openxmlformats.org/officeDocument/2006/relationships/settings" Target="settings.xml"/><Relationship Id="rId9" Type="http://schemas.openxmlformats.org/officeDocument/2006/relationships/hyperlink" Target="mailto:PR@wirtgen-group.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2533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Linnemann Mario</dc:creator>
  <dc:description/>
  <cp:lastModifiedBy>Linnemann Mario</cp:lastModifiedBy>
  <cp:revision>3</cp:revision>
  <cp:lastPrinted>2021-10-28T15:19:00Z</cp:lastPrinted>
  <dcterms:created xsi:type="dcterms:W3CDTF">2026-01-26T13:49:00Z</dcterms:created>
  <dcterms:modified xsi:type="dcterms:W3CDTF">2026-01-27T08:55:00Z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FontProps">
    <vt:lpwstr>#ff0000,10,Calibri</vt:lpwstr>
  </property>
  <property fmtid="{D5CDD505-2E9C-101B-9397-08002B2CF9AE}" pid="3" name="ClassificationContentMarkingHeaderShapeIds">
    <vt:lpwstr>b,d,e,78e8afbc,1a694fc5,20727866</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2026-01-21T12:54:42Z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e783faf3-8131-4ae3-903f-f94114387f23</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